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62"/>
        <w:ind w:left="0"/>
        <w:rPr>
          <w:rFonts w:ascii="Times New Roman"/>
          <w:sz w:val="52"/>
        </w:rPr>
      </w:pPr>
    </w:p>
    <w:p>
      <w:pPr>
        <w:pStyle w:val="Heading1"/>
        <w:ind w:left="2342"/>
      </w:pPr>
      <w:r>
        <w:rPr>
          <w:spacing w:val="-3"/>
        </w:rPr>
        <w:t>宁波好美秋千有限公司</w:t>
      </w:r>
    </w:p>
    <w:p>
      <w:pPr>
        <w:pStyle w:val="BodyText"/>
        <w:spacing w:before="462"/>
        <w:ind w:left="0"/>
        <w:rPr>
          <w:sz w:val="52"/>
        </w:rPr>
      </w:pPr>
    </w:p>
    <w:p>
      <w:pPr>
        <w:pStyle w:val="Title"/>
      </w:pPr>
      <w:r>
        <w:rPr>
          <w:spacing w:val="-2"/>
        </w:rPr>
        <w:t>社会责任报告</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24"/>
        <w:ind w:left="0"/>
        <w:rPr>
          <w:sz w:val="20"/>
        </w:rPr>
      </w:pPr>
      <w:r>
        <w:rPr>
          <w:sz w:val="20"/>
        </w:rPr>
        <w:drawing>
          <wp:anchor distT="0" distB="0" distL="0" distR="0" allowOverlap="1" layoutInCell="1" locked="0" behindDoc="1" simplePos="0" relativeHeight="487587840">
            <wp:simplePos x="0" y="0"/>
            <wp:positionH relativeFrom="page">
              <wp:posOffset>889000</wp:posOffset>
            </wp:positionH>
            <wp:positionV relativeFrom="paragraph">
              <wp:posOffset>193262</wp:posOffset>
            </wp:positionV>
            <wp:extent cx="5722919" cy="2039683"/>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722919" cy="2039683"/>
                    </a:xfrm>
                    <a:prstGeom prst="rect">
                      <a:avLst/>
                    </a:prstGeom>
                  </pic:spPr>
                </pic:pic>
              </a:graphicData>
            </a:graphic>
          </wp:anchor>
        </w:drawing>
      </w:r>
    </w:p>
    <w:p>
      <w:pPr>
        <w:pStyle w:val="BodyText"/>
        <w:spacing w:before="678"/>
        <w:ind w:left="0"/>
        <w:rPr>
          <w:sz w:val="84"/>
        </w:rPr>
      </w:pPr>
    </w:p>
    <w:p>
      <w:pPr>
        <w:spacing w:before="0"/>
        <w:ind w:left="70" w:right="259" w:firstLine="0"/>
        <w:jc w:val="center"/>
        <w:rPr>
          <w:sz w:val="50"/>
        </w:rPr>
      </w:pPr>
      <w:r>
        <w:rPr>
          <w:spacing w:val="-63"/>
          <w:sz w:val="50"/>
        </w:rPr>
        <w:t>二 </w:t>
      </w:r>
      <w:r>
        <w:rPr>
          <w:sz w:val="50"/>
        </w:rPr>
        <w:t>O</w:t>
      </w:r>
      <w:r>
        <w:rPr>
          <w:spacing w:val="-19"/>
          <w:sz w:val="50"/>
        </w:rPr>
        <w:t> 二五年八月</w:t>
      </w:r>
    </w:p>
    <w:p>
      <w:pPr>
        <w:spacing w:after="0"/>
        <w:jc w:val="center"/>
        <w:rPr>
          <w:sz w:val="50"/>
        </w:rPr>
        <w:sectPr>
          <w:type w:val="continuous"/>
          <w:pgSz w:w="11930" w:h="16850"/>
          <w:pgMar w:top="1940" w:bottom="280" w:left="1133" w:right="850"/>
        </w:sectPr>
      </w:pPr>
    </w:p>
    <w:p>
      <w:pPr>
        <w:pStyle w:val="Heading1"/>
        <w:ind w:right="259"/>
        <w:jc w:val="center"/>
      </w:pPr>
      <w:r>
        <w:rPr>
          <w:spacing w:val="-8"/>
        </w:rPr>
        <w:t>目  录</w:t>
      </w:r>
    </w:p>
    <w:p>
      <w:pPr>
        <w:pStyle w:val="BodyText"/>
        <w:spacing w:before="175"/>
        <w:ind w:left="0"/>
        <w:rPr>
          <w:sz w:val="30"/>
        </w:rPr>
      </w:pPr>
    </w:p>
    <w:p>
      <w:pPr>
        <w:spacing w:line="364" w:lineRule="auto" w:before="0"/>
        <w:ind w:left="703" w:right="6832" w:hanging="420"/>
        <w:jc w:val="left"/>
        <w:rPr>
          <w:sz w:val="30"/>
        </w:rPr>
      </w:pPr>
      <w:r>
        <w:rPr>
          <w:sz w:val="30"/>
        </w:rPr>
        <w:t>第一部分 报告前言</w:t>
      </w:r>
      <w:r>
        <w:rPr>
          <w:spacing w:val="-2"/>
          <w:sz w:val="30"/>
        </w:rPr>
        <w:t>一、报告编制规范</w:t>
      </w:r>
      <w:r>
        <w:rPr>
          <w:spacing w:val="-4"/>
          <w:sz w:val="30"/>
        </w:rPr>
        <w:t>二、致辞</w:t>
      </w:r>
    </w:p>
    <w:p>
      <w:pPr>
        <w:spacing w:line="424" w:lineRule="auto" w:before="0"/>
        <w:ind w:left="283" w:right="7026" w:firstLine="420"/>
        <w:jc w:val="left"/>
        <w:rPr>
          <w:sz w:val="30"/>
        </w:rPr>
      </w:pPr>
      <w:r>
        <w:rPr>
          <w:spacing w:val="-2"/>
          <w:sz w:val="30"/>
        </w:rPr>
        <w:t>三、企业简介</w:t>
      </w:r>
      <w:r>
        <w:rPr>
          <w:spacing w:val="40"/>
          <w:sz w:val="30"/>
        </w:rPr>
        <w:t> </w:t>
      </w:r>
      <w:r>
        <w:rPr>
          <w:sz w:val="30"/>
        </w:rPr>
        <w:t>第二部分 报告正文</w:t>
      </w:r>
    </w:p>
    <w:p>
      <w:pPr>
        <w:spacing w:line="364" w:lineRule="auto" w:before="0"/>
        <w:ind w:left="607" w:right="6628" w:firstLine="0"/>
        <w:jc w:val="left"/>
        <w:rPr>
          <w:sz w:val="30"/>
        </w:rPr>
      </w:pPr>
      <w:r>
        <w:rPr>
          <w:spacing w:val="-2"/>
          <w:sz w:val="30"/>
        </w:rPr>
        <w:t>一、经营与发展综述二、社会责任实践</w:t>
      </w:r>
    </w:p>
    <w:p>
      <w:pPr>
        <w:spacing w:before="96"/>
        <w:ind w:left="468" w:right="0" w:firstLine="0"/>
        <w:jc w:val="left"/>
        <w:rPr>
          <w:sz w:val="30"/>
        </w:rPr>
      </w:pPr>
      <w:r>
        <w:rPr>
          <w:sz w:val="30"/>
        </w:rPr>
        <w:t>（一）</w:t>
      </w:r>
      <w:r>
        <w:rPr>
          <w:spacing w:val="-2"/>
          <w:sz w:val="30"/>
        </w:rPr>
        <w:t>公司治理制度</w:t>
      </w:r>
    </w:p>
    <w:p>
      <w:pPr>
        <w:spacing w:before="197"/>
        <w:ind w:left="468" w:right="0" w:firstLine="0"/>
        <w:jc w:val="left"/>
        <w:rPr>
          <w:sz w:val="30"/>
        </w:rPr>
      </w:pPr>
      <w:r>
        <w:rPr>
          <w:sz w:val="30"/>
        </w:rPr>
        <w:t>（二）</w:t>
      </w:r>
      <w:r>
        <w:rPr>
          <w:spacing w:val="-2"/>
          <w:sz w:val="30"/>
        </w:rPr>
        <w:t>股东权益保护</w:t>
      </w:r>
    </w:p>
    <w:p>
      <w:pPr>
        <w:spacing w:before="199"/>
        <w:ind w:left="468" w:right="0" w:firstLine="0"/>
        <w:jc w:val="left"/>
        <w:rPr>
          <w:sz w:val="30"/>
        </w:rPr>
      </w:pPr>
      <w:r>
        <w:rPr>
          <w:sz w:val="30"/>
        </w:rPr>
        <w:t>（三）</w:t>
      </w:r>
      <w:r>
        <w:rPr>
          <w:spacing w:val="-2"/>
          <w:sz w:val="30"/>
        </w:rPr>
        <w:t>职工权益保护</w:t>
      </w:r>
    </w:p>
    <w:p>
      <w:pPr>
        <w:spacing w:before="201"/>
        <w:ind w:left="468" w:right="0" w:firstLine="0"/>
        <w:jc w:val="left"/>
        <w:rPr>
          <w:sz w:val="30"/>
        </w:rPr>
      </w:pPr>
      <w:r>
        <w:rPr>
          <w:sz w:val="30"/>
        </w:rPr>
        <w:t>（四）</w:t>
      </w:r>
      <w:r>
        <w:rPr>
          <w:spacing w:val="-1"/>
          <w:sz w:val="30"/>
        </w:rPr>
        <w:t>供应商客户等其他相关方权益保护</w:t>
      </w:r>
    </w:p>
    <w:p>
      <w:pPr>
        <w:spacing w:before="199"/>
        <w:ind w:left="468" w:right="0" w:firstLine="0"/>
        <w:jc w:val="left"/>
        <w:rPr>
          <w:sz w:val="30"/>
        </w:rPr>
      </w:pPr>
      <w:r>
        <w:rPr>
          <w:sz w:val="30"/>
        </w:rPr>
        <w:t>（五）</w:t>
      </w:r>
      <w:r>
        <w:rPr>
          <w:spacing w:val="-1"/>
          <w:sz w:val="30"/>
        </w:rPr>
        <w:t>环境保护与可持续发展</w:t>
      </w:r>
    </w:p>
    <w:p>
      <w:pPr>
        <w:spacing w:line="364" w:lineRule="auto" w:before="199"/>
        <w:ind w:left="593" w:right="5267" w:hanging="125"/>
        <w:jc w:val="left"/>
        <w:rPr>
          <w:sz w:val="30"/>
        </w:rPr>
      </w:pPr>
      <w:r>
        <w:rPr>
          <w:spacing w:val="-2"/>
          <w:sz w:val="30"/>
        </w:rPr>
        <w:t>（六）公共关系和社会公益事业三、结束语</w:t>
      </w:r>
    </w:p>
    <w:p>
      <w:pPr>
        <w:spacing w:after="0" w:line="364" w:lineRule="auto"/>
        <w:jc w:val="left"/>
        <w:rPr>
          <w:sz w:val="30"/>
        </w:rPr>
        <w:sectPr>
          <w:footerReference w:type="default" r:id="rId6"/>
          <w:pgSz w:w="11930" w:h="16850"/>
          <w:pgMar w:header="0" w:footer="1099" w:top="1560" w:bottom="1280" w:left="1133" w:right="850"/>
          <w:pgNumType w:start="1"/>
        </w:sectPr>
      </w:pPr>
    </w:p>
    <w:p>
      <w:pPr>
        <w:pStyle w:val="Heading2"/>
        <w:ind w:right="481"/>
      </w:pPr>
      <w:r>
        <w:rPr>
          <w:spacing w:val="2"/>
        </w:rPr>
        <w:t>第一部分 报告前言</w:t>
      </w:r>
    </w:p>
    <w:p>
      <w:pPr>
        <w:pStyle w:val="BodyText"/>
        <w:spacing w:before="212"/>
      </w:pPr>
      <w:r>
        <w:rPr>
          <w:spacing w:val="-2"/>
        </w:rPr>
        <w:t>一、报告编制规范</w:t>
      </w:r>
    </w:p>
    <w:p>
      <w:pPr>
        <w:pStyle w:val="BodyText"/>
        <w:spacing w:line="362" w:lineRule="auto" w:before="161"/>
        <w:ind w:right="694" w:firstLine="480"/>
      </w:pPr>
      <w:r>
        <w:rPr>
          <w:spacing w:val="-19"/>
        </w:rPr>
        <w:t>《社会责任报告》回顾了在社会责任实践方面的理念、制度、措施以及取得的成效。</w:t>
      </w:r>
      <w:r>
        <w:rPr>
          <w:spacing w:val="-2"/>
        </w:rPr>
        <w:t>关于本报告的披露内容，说明如下：</w:t>
      </w:r>
    </w:p>
    <w:p>
      <w:pPr>
        <w:pStyle w:val="BodyText"/>
        <w:spacing w:line="424" w:lineRule="auto" w:before="82"/>
        <w:ind w:left="763" w:right="7252"/>
      </w:pPr>
      <w:r>
        <w:rPr/>
        <w:t>（一） 报告范围</w:t>
      </w:r>
      <w:r>
        <w:rPr>
          <w:spacing w:val="-2"/>
        </w:rPr>
        <w:t>报告的组织范围：</w:t>
      </w:r>
    </w:p>
    <w:p>
      <w:pPr>
        <w:pStyle w:val="BodyText"/>
        <w:spacing w:line="424" w:lineRule="auto"/>
        <w:ind w:left="763" w:right="4251"/>
      </w:pPr>
      <w:r>
        <w:rPr/>
        <w:t>报告的时间范围：2024</w:t>
      </w:r>
      <w:r>
        <w:rPr>
          <w:spacing w:val="-40"/>
        </w:rPr>
        <w:t> 年 </w:t>
      </w:r>
      <w:r>
        <w:rPr/>
        <w:t>1</w:t>
      </w:r>
      <w:r>
        <w:rPr>
          <w:spacing w:val="-22"/>
        </w:rPr>
        <w:t> 月至 </w:t>
      </w:r>
      <w:r>
        <w:rPr/>
        <w:t>2024</w:t>
      </w:r>
      <w:r>
        <w:rPr>
          <w:spacing w:val="-40"/>
        </w:rPr>
        <w:t> 年 </w:t>
      </w:r>
      <w:r>
        <w:rPr/>
        <w:t>12</w:t>
      </w:r>
      <w:r>
        <w:rPr>
          <w:spacing w:val="-30"/>
        </w:rPr>
        <w:t> 月</w:t>
      </w:r>
      <w:r>
        <w:rPr>
          <w:spacing w:val="-2"/>
        </w:rPr>
        <w:t>报告的发布周期：年度发布</w:t>
      </w:r>
    </w:p>
    <w:p>
      <w:pPr>
        <w:pStyle w:val="BodyText"/>
        <w:spacing w:line="364" w:lineRule="auto"/>
        <w:ind w:left="763" w:right="1490"/>
      </w:pPr>
      <w:r>
        <w:rPr>
          <w:spacing w:val="-2"/>
        </w:rPr>
        <w:t>报告发布形式以电子版形式发布，欲获取报告电子版，请关注公司官网。解答报告及其内容问题联系方式：</w:t>
      </w:r>
    </w:p>
    <w:p>
      <w:pPr>
        <w:pStyle w:val="BodyText"/>
        <w:tabs>
          <w:tab w:pos="2563" w:val="left" w:leader="none"/>
        </w:tabs>
        <w:spacing w:before="75"/>
        <w:ind w:left="763"/>
      </w:pPr>
      <w:r>
        <w:rPr>
          <w:spacing w:val="-2"/>
        </w:rPr>
        <w:t>联系人：邓</w:t>
      </w:r>
      <w:r>
        <w:rPr>
          <w:spacing w:val="-10"/>
        </w:rPr>
        <w:t>斌</w:t>
      </w:r>
      <w:r>
        <w:rPr/>
        <w:tab/>
        <w:t>电话</w:t>
      </w:r>
      <w:r>
        <w:rPr>
          <w:spacing w:val="-2"/>
        </w:rPr>
        <w:t>：13968312030</w:t>
      </w:r>
    </w:p>
    <w:p>
      <w:pPr>
        <w:pStyle w:val="BodyText"/>
        <w:spacing w:before="159"/>
        <w:ind w:left="763"/>
      </w:pPr>
      <w:r>
        <w:rPr>
          <w:spacing w:val="-4"/>
        </w:rPr>
        <w:t>联系地址：浙江省宁波市宁海县三门湾经济开发区金港路 </w:t>
      </w:r>
      <w:r>
        <w:rPr>
          <w:spacing w:val="-2"/>
        </w:rPr>
        <w:t>26</w:t>
      </w:r>
      <w:r>
        <w:rPr>
          <w:spacing w:val="-22"/>
        </w:rPr>
        <w:t> 号</w:t>
      </w:r>
    </w:p>
    <w:p>
      <w:pPr>
        <w:pStyle w:val="BodyText"/>
        <w:spacing w:before="160"/>
        <w:ind w:left="763"/>
      </w:pPr>
      <w:r>
        <w:rPr/>
        <w:t>（二）</w:t>
      </w:r>
      <w:r>
        <w:rPr>
          <w:spacing w:val="-1"/>
        </w:rPr>
        <w:t> 报告内容客观性说明</w:t>
      </w:r>
    </w:p>
    <w:p>
      <w:pPr>
        <w:pStyle w:val="BodyText"/>
        <w:spacing w:line="364" w:lineRule="auto" w:before="159"/>
        <w:ind w:right="695" w:firstLine="480"/>
      </w:pPr>
      <w:r>
        <w:rPr>
          <w:spacing w:val="-2"/>
        </w:rPr>
        <w:t>本报告完全依托公司生产经营实际情况而编写，内容客观公正，绝无虚假信息，定期公布，以接受社会的监督指导。</w:t>
      </w:r>
    </w:p>
    <w:p>
      <w:pPr>
        <w:pStyle w:val="BodyText"/>
        <w:spacing w:after="0" w:line="364" w:lineRule="auto"/>
        <w:sectPr>
          <w:pgSz w:w="11930" w:h="16850"/>
          <w:pgMar w:header="0" w:footer="1099" w:top="1520" w:bottom="1280" w:left="1133" w:right="850"/>
        </w:sectPr>
      </w:pPr>
    </w:p>
    <w:p>
      <w:pPr>
        <w:pStyle w:val="BodyText"/>
        <w:spacing w:before="41"/>
        <w:ind w:left="283"/>
      </w:pPr>
      <w:r>
        <w:rPr>
          <w:spacing w:val="-3"/>
        </w:rPr>
        <w:t>二、致辞</w:t>
      </w:r>
    </w:p>
    <w:p>
      <w:pPr>
        <w:pStyle w:val="BodyText"/>
        <w:spacing w:line="364" w:lineRule="auto" w:before="180"/>
        <w:ind w:left="283" w:right="479" w:firstLine="480"/>
      </w:pPr>
      <w:r>
        <w:rPr>
          <w:spacing w:val="-2"/>
        </w:rPr>
        <w:t>公司一贯高度重视企业社会责任工作。作为企业总体战略体系的重要环节，不断推进企业社会责任长效机制，逐步将可持续发展战略推进到每一个业务环节。</w:t>
      </w:r>
    </w:p>
    <w:p>
      <w:pPr>
        <w:pStyle w:val="BodyText"/>
        <w:spacing w:line="364" w:lineRule="auto" w:before="20"/>
        <w:ind w:left="283" w:right="483" w:firstLine="480"/>
      </w:pPr>
      <w:r>
        <w:rPr>
          <w:spacing w:val="-2"/>
        </w:rPr>
        <w:t>围绕游乐设施产品核心业务，坚持产品创新和管理提升。公司把握企业和产品的生命周期，不断推进产品与服务和人才的可持续发展战略。</w:t>
      </w:r>
    </w:p>
    <w:p>
      <w:pPr>
        <w:pStyle w:val="BodyText"/>
        <w:spacing w:line="364" w:lineRule="auto" w:before="18"/>
        <w:ind w:left="283" w:right="475" w:firstLine="480"/>
        <w:jc w:val="both"/>
      </w:pPr>
      <w:r>
        <w:rPr>
          <w:spacing w:val="-2"/>
        </w:rPr>
        <w:t>在产品与服务的可持续发展方面，我们将产品质量和环境保护视为保证企业乃至整个社会可持续发展的关键。质量安全是企业不容妥协的追求目标。从新产品设计、原料</w:t>
      </w:r>
      <w:r>
        <w:rPr>
          <w:spacing w:val="-20"/>
        </w:rPr>
        <w:t>采购、产品制造到销售，企业不断改进技术、改善生产工艺流程，为大家提供更为安全、</w:t>
      </w:r>
      <w:r>
        <w:rPr>
          <w:spacing w:val="-2"/>
        </w:rPr>
        <w:t>优质的产品和服务。为规范和提升质量管理体系，本公司编制了质量环境职业健康安全管理手册，从质量/环境/职业健康安全管理系统、管理职责、资源管理、产品实现、检测分析与改进等方面为企业质量体系建立纲领性要求。</w:t>
      </w:r>
    </w:p>
    <w:p>
      <w:pPr>
        <w:pStyle w:val="BodyText"/>
        <w:spacing w:line="364" w:lineRule="auto" w:before="19"/>
        <w:ind w:left="283" w:right="480" w:firstLine="480"/>
        <w:jc w:val="both"/>
      </w:pPr>
      <w:r>
        <w:rPr>
          <w:spacing w:val="-2"/>
        </w:rPr>
        <w:t>企业进一步降低污染物排放、优化能源资源利用效率、提高工艺安全管理能力、加强职业健康与安全的培训与监督，取得了良好的效果。同时，我们积极推进环境保护政策，严格治理三废污染排放物，实行清洁生产。同时，通过技术进步、工艺改进和产能布局调控等手段，实现节能减排。</w:t>
      </w:r>
    </w:p>
    <w:p>
      <w:pPr>
        <w:pStyle w:val="BodyText"/>
        <w:spacing w:line="364" w:lineRule="auto" w:before="19"/>
        <w:ind w:left="283" w:right="479" w:firstLine="480"/>
        <w:jc w:val="both"/>
      </w:pPr>
      <w:r>
        <w:rPr>
          <w:spacing w:val="-2"/>
        </w:rPr>
        <w:t>严格采用供应商管理条例、供应商考核办法等，对供应商的资质、生产现场、工艺技术水平、质量保证体系等进行科学评审，分级管理，以此从源头上确保产品的质量和</w:t>
      </w:r>
      <w:r>
        <w:rPr>
          <w:spacing w:val="-4"/>
        </w:rPr>
        <w:t>安全。</w:t>
      </w:r>
    </w:p>
    <w:p>
      <w:pPr>
        <w:pStyle w:val="BodyText"/>
        <w:spacing w:line="364" w:lineRule="auto" w:before="21"/>
        <w:ind w:left="283" w:right="479" w:firstLine="480"/>
        <w:jc w:val="both"/>
      </w:pPr>
      <w:r>
        <w:rPr>
          <w:spacing w:val="-2"/>
        </w:rPr>
        <w:t>在人才的可持续发展方面，我们致力于不断完善以人为本的人力资源体系，注重现有员工的职业发展,积极培养后备人才。与此同时，我们通过社会公益的教育捐助，以资金捐赠、就业实践、校企合作等方式，为企业与社会发展储备优秀人才。</w:t>
      </w:r>
    </w:p>
    <w:p>
      <w:pPr>
        <w:pStyle w:val="BodyText"/>
        <w:spacing w:line="364" w:lineRule="auto" w:before="19"/>
        <w:ind w:left="283" w:right="473" w:firstLine="480"/>
        <w:jc w:val="both"/>
      </w:pPr>
      <w:r>
        <w:rPr/>
        <w:t>2024 年，我们在公司治理、经济、环境健康与安全、产品与服务、员工和社会方</w:t>
      </w:r>
      <w:r>
        <w:rPr>
          <w:spacing w:val="-2"/>
        </w:rPr>
        <w:t>面不断进取，积极承担我们作为企业公民的责任。新的一年，我们将不断通过实践，积极履行社会责任，努力实现企业与社会、环境的全面协调。</w:t>
      </w:r>
    </w:p>
    <w:p>
      <w:pPr>
        <w:pStyle w:val="BodyText"/>
        <w:spacing w:after="0" w:line="364" w:lineRule="auto"/>
        <w:jc w:val="both"/>
        <w:sectPr>
          <w:pgSz w:w="11930" w:h="16850"/>
          <w:pgMar w:header="0" w:footer="1099" w:top="1480" w:bottom="1280" w:left="1133" w:right="850"/>
        </w:sectPr>
      </w:pPr>
    </w:p>
    <w:p>
      <w:pPr>
        <w:pStyle w:val="BodyText"/>
        <w:spacing w:before="41"/>
        <w:ind w:left="283"/>
      </w:pPr>
      <w:r>
        <w:rPr>
          <w:spacing w:val="-2"/>
        </w:rPr>
        <w:t>三、企业简介</w:t>
      </w:r>
    </w:p>
    <w:p>
      <w:pPr>
        <w:pStyle w:val="BodyText"/>
        <w:spacing w:before="163"/>
        <w:ind w:left="761"/>
      </w:pPr>
      <w:r>
        <w:rPr>
          <w:spacing w:val="-5"/>
        </w:rPr>
        <w:t>宁波好美秋千有限公司创立于 </w:t>
      </w:r>
      <w:r>
        <w:rPr/>
        <w:t>2007</w:t>
      </w:r>
      <w:r>
        <w:rPr>
          <w:spacing w:val="-9"/>
        </w:rPr>
        <w:t> 年，是一家中外合资、外向型工贸企业。现有员</w:t>
      </w:r>
    </w:p>
    <w:p>
      <w:pPr>
        <w:pStyle w:val="BodyText"/>
        <w:spacing w:line="364" w:lineRule="auto" w:before="160"/>
        <w:ind w:left="281" w:right="353"/>
      </w:pPr>
      <w:r>
        <w:rPr>
          <w:spacing w:val="-30"/>
        </w:rPr>
        <w:t>工 </w:t>
      </w:r>
      <w:r>
        <w:rPr/>
        <w:t>150</w:t>
      </w:r>
      <w:r>
        <w:rPr>
          <w:spacing w:val="-15"/>
        </w:rPr>
        <w:t> 余人，建筑面积 </w:t>
      </w:r>
      <w:r>
        <w:rPr/>
        <w:t>33000</w:t>
      </w:r>
      <w:r>
        <w:rPr>
          <w:spacing w:val="-11"/>
        </w:rPr>
        <w:t> 平方米。公司专业生产儿童秋千及配件，已通过 </w:t>
      </w:r>
      <w:r>
        <w:rPr/>
        <w:t>ISO9001</w:t>
      </w:r>
      <w:r>
        <w:rPr/>
        <w:t> </w:t>
      </w:r>
      <w:r>
        <w:rPr>
          <w:spacing w:val="-1"/>
        </w:rPr>
        <w:t>质量管理体系、</w:t>
      </w:r>
      <w:r>
        <w:rPr/>
        <w:t>ISO14001</w:t>
      </w:r>
      <w:r>
        <w:rPr>
          <w:spacing w:val="-8"/>
        </w:rPr>
        <w:t> 环境管理体系、</w:t>
      </w:r>
      <w:r>
        <w:rPr/>
        <w:t>ISO45001</w:t>
      </w:r>
      <w:r>
        <w:rPr>
          <w:spacing w:val="-8"/>
        </w:rPr>
        <w:t> 职业健康安全管理体系、</w:t>
      </w:r>
      <w:r>
        <w:rPr/>
        <w:t>ISO50001</w:t>
      </w:r>
      <w:r>
        <w:rPr>
          <w:spacing w:val="-38"/>
        </w:rPr>
        <w:t> 能</w:t>
      </w:r>
      <w:r>
        <w:rPr>
          <w:spacing w:val="-1"/>
        </w:rPr>
        <w:t>源管理体系、</w:t>
      </w:r>
      <w:r>
        <w:rPr/>
        <w:t>BSCI</w:t>
      </w:r>
      <w:r>
        <w:rPr>
          <w:spacing w:val="-8"/>
        </w:rPr>
        <w:t> 社会责任体系审核</w:t>
      </w:r>
      <w:r>
        <w:rPr/>
        <w:t>；TUV、SGS、CE、GS</w:t>
      </w:r>
      <w:r>
        <w:rPr>
          <w:spacing w:val="-8"/>
        </w:rPr>
        <w:t> 等多项产品认证，产品质量符</w:t>
      </w:r>
      <w:r>
        <w:rPr>
          <w:spacing w:val="-13"/>
        </w:rPr>
        <w:t>合欧美儿童玩具标准和中国 </w:t>
      </w:r>
      <w:r>
        <w:rPr/>
        <w:t>GB6675</w:t>
      </w:r>
      <w:r>
        <w:rPr>
          <w:spacing w:val="-8"/>
        </w:rPr>
        <w:t> 行业标准。主要产品有塑料秋千、木制秋千、婴童秋千、鸟窝秋千、爬梯爬网、残障人士康乐座椅、商用秋千系列、户外秋千套装及配件。产品主销欧洲，同时远销美洲、澳洲、东南亚等世界各地，产销量连年稳居国内同行前列。</w:t>
      </w:r>
    </w:p>
    <w:p>
      <w:pPr>
        <w:pStyle w:val="BodyText"/>
        <w:spacing w:line="364" w:lineRule="auto"/>
        <w:ind w:left="281" w:right="108" w:firstLine="480"/>
      </w:pPr>
      <w:r>
        <w:rPr>
          <w:spacing w:val="4"/>
        </w:rPr>
        <w:t>公司目前拥有拉丝机、制绳机、双层编织机、吹塑机、注塑机、进口钢丝绳切割机、</w:t>
      </w:r>
      <w:r>
        <w:rPr/>
        <w:t>进口铝套压扣机、拉力机、自动螺丝包装机、激光雕刻机等多种先进设备。公司重视新</w:t>
      </w:r>
    </w:p>
    <w:p>
      <w:pPr>
        <w:pStyle w:val="BodyText"/>
        <w:spacing w:line="364" w:lineRule="auto" w:before="1"/>
        <w:ind w:left="281" w:right="353"/>
      </w:pPr>
      <w:r>
        <w:rPr/>
        <w:t>产品研发，建有专业实验室，拥有数控拉力/压力测试机、摇摆寿命测试机、UV</w:t>
      </w:r>
      <w:r>
        <w:rPr>
          <w:spacing w:val="-12"/>
        </w:rPr>
        <w:t> 老化测试</w:t>
      </w:r>
      <w:r>
        <w:rPr>
          <w:spacing w:val="-1"/>
        </w:rPr>
        <w:t>机、盐雾测试机、色卡色谱对照箱等专业测试后设备。公司目前拥有 </w:t>
      </w:r>
      <w:r>
        <w:rPr/>
        <w:t>2</w:t>
      </w:r>
      <w:r>
        <w:rPr>
          <w:spacing w:val="-5"/>
        </w:rPr>
        <w:t> 项发明专利、</w:t>
      </w:r>
      <w:r>
        <w:rPr/>
        <w:t>13项实用新型专利、5</w:t>
      </w:r>
      <w:r>
        <w:rPr>
          <w:spacing w:val="-7"/>
        </w:rPr>
        <w:t> 项外观专利权。</w:t>
      </w:r>
    </w:p>
    <w:p>
      <w:pPr>
        <w:pStyle w:val="BodyText"/>
        <w:spacing w:line="364" w:lineRule="auto"/>
        <w:ind w:left="281" w:right="474" w:firstLine="480"/>
        <w:jc w:val="both"/>
      </w:pPr>
      <w:r>
        <w:rPr>
          <w:spacing w:val="-2"/>
        </w:rPr>
        <w:t>公司是中国玩具和婴童用品协会理事单位，浙江省玩具和孕婴童用品协会副会长单位，宁波市玩具和婴童用品协会副会长单位；多个产品被中国玩具和婴童用品协会评为优秀产品、创新产品、明星产品。2022</w:t>
      </w:r>
      <w:r>
        <w:rPr>
          <w:spacing w:val="-5"/>
        </w:rPr>
        <w:t> 年评为宁波市企业管理创新提升四星级企业、高</w:t>
      </w:r>
      <w:r>
        <w:rPr>
          <w:spacing w:val="-2"/>
        </w:rPr>
        <w:t>新技术企业</w:t>
      </w:r>
    </w:p>
    <w:p>
      <w:pPr>
        <w:pStyle w:val="BodyText"/>
        <w:spacing w:line="364" w:lineRule="auto" w:before="3"/>
        <w:ind w:left="281" w:right="108" w:firstLine="480"/>
      </w:pPr>
      <w:r>
        <w:rPr>
          <w:spacing w:val="4"/>
        </w:rPr>
        <w:t>在数字化浪潮的推动下，我们积极拥抱变革，致力于打造数字化的生产与管理体系，</w:t>
      </w:r>
      <w:r>
        <w:rPr/>
        <w:t>与软件公司一起自主研发了易大数字化管理系统，从建立客户订单，到分析库存、采购</w:t>
      </w:r>
    </w:p>
    <w:p>
      <w:pPr>
        <w:pStyle w:val="BodyText"/>
        <w:spacing w:before="1"/>
        <w:ind w:left="281"/>
      </w:pPr>
      <w:r>
        <w:rPr>
          <w:spacing w:val="-1"/>
        </w:rPr>
        <w:t>计划、生产计划、材料和成品出入库、销售出库、库存管理等均是数字化系统管理。</w:t>
      </w:r>
    </w:p>
    <w:p>
      <w:pPr>
        <w:pStyle w:val="BodyText"/>
        <w:spacing w:line="364" w:lineRule="auto" w:before="161"/>
        <w:ind w:left="281" w:right="108" w:firstLine="480"/>
      </w:pPr>
      <w:r>
        <w:rPr>
          <w:spacing w:val="4"/>
        </w:rPr>
        <w:t>在研发环节，我们引入了先进的数字化设计软件，能够精确绘制秋千的结构和外观，</w:t>
      </w:r>
      <w:r>
        <w:rPr/>
        <w:t>提前模拟产品性能，大大缩短了研发周期。</w:t>
      </w:r>
    </w:p>
    <w:p>
      <w:pPr>
        <w:pStyle w:val="BodyText"/>
        <w:spacing w:line="364" w:lineRule="auto" w:before="4"/>
        <w:ind w:left="281" w:right="534" w:firstLine="480"/>
      </w:pPr>
      <w:r>
        <w:rPr>
          <w:spacing w:val="-2"/>
        </w:rPr>
        <w:t>在生产环节，关键工序通过数控生产设备，实现了高精度、高效率的生产，确保每一款儿童秋千的品质稳定可靠。</w:t>
      </w:r>
    </w:p>
    <w:p>
      <w:pPr>
        <w:pStyle w:val="BodyText"/>
        <w:spacing w:line="364" w:lineRule="auto" w:before="3"/>
        <w:ind w:left="281" w:right="534" w:firstLine="480"/>
      </w:pPr>
      <w:r>
        <w:rPr>
          <w:spacing w:val="-2"/>
        </w:rPr>
        <w:t>在质量控制方面，利用数字化检测设备和工具，对原材料、在制品和成品进行严格的检测和数据分析，及时发现问题，保障产品符合安全标准。</w:t>
      </w:r>
    </w:p>
    <w:p>
      <w:pPr>
        <w:pStyle w:val="BodyText"/>
        <w:spacing w:before="1"/>
        <w:ind w:left="761"/>
      </w:pPr>
      <w:r>
        <w:rPr>
          <w:spacing w:val="-1"/>
        </w:rPr>
        <w:t>在销售与市场方面，通过数字化营销平台，精准定位目标客户群体，分析市场趋势</w:t>
      </w:r>
    </w:p>
    <w:p>
      <w:pPr>
        <w:pStyle w:val="BodyText"/>
        <w:spacing w:line="362" w:lineRule="auto" w:before="146"/>
        <w:ind w:left="281" w:right="107"/>
      </w:pPr>
      <w:r>
        <w:rPr>
          <w:spacing w:val="4"/>
        </w:rPr>
        <w:t>和客户需求，从而优化产品策略和推广方案。我们的电商平台整合了客户关系管理系统，</w:t>
      </w:r>
      <w:r>
        <w:rPr/>
        <w:t>能够为客户提供个性化的服务和售后支持。</w:t>
      </w:r>
    </w:p>
    <w:p>
      <w:pPr>
        <w:pStyle w:val="BodyText"/>
        <w:spacing w:after="0" w:line="362" w:lineRule="auto"/>
        <w:sectPr>
          <w:pgSz w:w="11930" w:h="16850"/>
          <w:pgMar w:header="0" w:footer="1099" w:top="1480" w:bottom="1280" w:left="1133" w:right="850"/>
        </w:sectPr>
      </w:pPr>
    </w:p>
    <w:p>
      <w:pPr>
        <w:pStyle w:val="BodyText"/>
        <w:spacing w:line="364" w:lineRule="auto" w:before="41"/>
        <w:ind w:left="281" w:right="534" w:firstLine="480"/>
      </w:pPr>
      <w:r>
        <w:rPr>
          <w:spacing w:val="-2"/>
        </w:rPr>
        <w:t>在库存管理上，数字化的库存系统让我们实时掌握原材料和成品的库存数量，实现了精准的补货计划和调配，降低了库存成本。</w:t>
      </w:r>
    </w:p>
    <w:p>
      <w:pPr>
        <w:pStyle w:val="BodyText"/>
        <w:spacing w:line="364" w:lineRule="auto"/>
        <w:ind w:right="85" w:firstLine="480"/>
      </w:pPr>
      <w:r>
        <w:rPr>
          <w:spacing w:val="-2"/>
        </w:rPr>
        <w:t>在企业管理方面，数字化办公系统提高了内部沟通效率，实现了信的快速传和共享。</w:t>
      </w:r>
      <w:r>
        <w:rPr>
          <w:spacing w:val="80"/>
          <w:w w:val="150"/>
        </w:rPr>
        <w:t> </w:t>
      </w:r>
      <w:r>
        <w:rPr>
          <w:spacing w:val="-2"/>
        </w:rPr>
        <w:t>同时，通过数据分析，我们能对企业的运营状况进行全面评估，为决策提供科学依据。未来，我们将继续加大在数字化领域的投入，不断探索新技术、新应用，以数字化驱动创新，为孩子们带来更安全、更有趣的秋千产品。</w:t>
      </w:r>
    </w:p>
    <w:p>
      <w:pPr>
        <w:pStyle w:val="BodyText"/>
        <w:spacing w:before="11"/>
        <w:ind w:left="0"/>
        <w:rPr>
          <w:sz w:val="12"/>
        </w:rPr>
      </w:pPr>
      <w:r>
        <w:rPr>
          <w:sz w:val="12"/>
        </w:rPr>
        <w:drawing>
          <wp:anchor distT="0" distB="0" distL="0" distR="0" allowOverlap="1" layoutInCell="1" locked="0" behindDoc="1" simplePos="0" relativeHeight="487588352">
            <wp:simplePos x="0" y="0"/>
            <wp:positionH relativeFrom="page">
              <wp:posOffset>805815</wp:posOffset>
            </wp:positionH>
            <wp:positionV relativeFrom="paragraph">
              <wp:posOffset>120014</wp:posOffset>
            </wp:positionV>
            <wp:extent cx="5870162" cy="2275713"/>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5870162" cy="2275713"/>
                    </a:xfrm>
                    <a:prstGeom prst="rect">
                      <a:avLst/>
                    </a:prstGeom>
                  </pic:spPr>
                </pic:pic>
              </a:graphicData>
            </a:graphic>
          </wp:anchor>
        </w:drawing>
      </w:r>
    </w:p>
    <w:p>
      <w:pPr>
        <w:pStyle w:val="BodyText"/>
        <w:spacing w:after="0"/>
        <w:rPr>
          <w:sz w:val="12"/>
        </w:rPr>
        <w:sectPr>
          <w:pgSz w:w="11930" w:h="16850"/>
          <w:pgMar w:header="0" w:footer="1099" w:top="1480" w:bottom="1280" w:left="1133" w:right="850"/>
        </w:sectPr>
      </w:pPr>
    </w:p>
    <w:p>
      <w:pPr>
        <w:pStyle w:val="Heading2"/>
      </w:pPr>
      <w:r>
        <w:rPr>
          <w:spacing w:val="2"/>
        </w:rPr>
        <w:t>第二部分 报告正文</w:t>
      </w:r>
    </w:p>
    <w:p>
      <w:pPr>
        <w:pStyle w:val="BodyText"/>
        <w:spacing w:before="212"/>
        <w:ind w:left="283"/>
      </w:pPr>
      <w:r>
        <w:rPr>
          <w:spacing w:val="-2"/>
        </w:rPr>
        <w:t>一、经营与发展综述</w:t>
      </w:r>
    </w:p>
    <w:p>
      <w:pPr>
        <w:pStyle w:val="BodyText"/>
        <w:spacing w:before="211"/>
        <w:ind w:left="763"/>
      </w:pPr>
      <w:r>
        <w:rPr/>
        <w:t>（一）</w:t>
      </w:r>
      <w:r>
        <w:rPr>
          <w:spacing w:val="-2"/>
        </w:rPr>
        <w:t>近年经营情况</w:t>
      </w:r>
    </w:p>
    <w:p>
      <w:pPr>
        <w:pStyle w:val="BodyText"/>
        <w:spacing w:line="364" w:lineRule="auto" w:before="211"/>
        <w:ind w:right="695" w:firstLine="480"/>
        <w:jc w:val="both"/>
      </w:pPr>
      <w:r>
        <w:rPr>
          <w:spacing w:val="-2"/>
        </w:rPr>
        <w:t>近年来，在公司全体员工共同努力下，公司面对严峻的外部环境创新破难、共克时坚，产销量、销售收入、利润等主要济指标平稳，经济总量稳健增长，圆满完成公司年度各项工作指标。</w:t>
      </w:r>
    </w:p>
    <w:p>
      <w:pPr>
        <w:pStyle w:val="BodyText"/>
        <w:spacing w:before="19"/>
        <w:ind w:left="763"/>
      </w:pPr>
      <w:r>
        <w:rPr/>
        <w:t>（二）</w:t>
      </w:r>
      <w:r>
        <w:rPr>
          <w:spacing w:val="-2"/>
        </w:rPr>
        <w:t>未来发展计划</w:t>
      </w:r>
    </w:p>
    <w:p>
      <w:pPr>
        <w:pStyle w:val="BodyText"/>
        <w:spacing w:line="364" w:lineRule="auto" w:before="216"/>
        <w:ind w:right="473" w:firstLine="480"/>
        <w:jc w:val="both"/>
      </w:pPr>
      <w:r>
        <w:rPr/>
        <w:t>公司确定了未来五年战略规划为“增长型战略”，以质量管理为中心、技术创新为</w:t>
      </w:r>
      <w:r>
        <w:rPr>
          <w:spacing w:val="-1"/>
        </w:rPr>
        <w:t>依托、市场需求为导向、人才培养为支撑、管理创新为动力，进一步扩大市场占有率并</w:t>
      </w:r>
      <w:r>
        <w:rPr/>
        <w:t>打响品牌知名度，产品质量和品牌两手抓。适应市场环境的变化，不断调整企业的经营方向与目标。</w:t>
      </w:r>
    </w:p>
    <w:p>
      <w:pPr>
        <w:pStyle w:val="BodyText"/>
        <w:spacing w:before="17"/>
        <w:ind w:left="283"/>
      </w:pPr>
      <w:r>
        <w:rPr>
          <w:spacing w:val="-2"/>
        </w:rPr>
        <w:t>二、社会责任实践</w:t>
      </w:r>
    </w:p>
    <w:p>
      <w:pPr>
        <w:pStyle w:val="BodyText"/>
        <w:spacing w:before="211"/>
        <w:ind w:left="763"/>
      </w:pPr>
      <w:r>
        <w:rPr/>
        <w:t>（一）</w:t>
      </w:r>
      <w:r>
        <w:rPr>
          <w:spacing w:val="-2"/>
        </w:rPr>
        <w:t>公司治理制度</w:t>
      </w:r>
    </w:p>
    <w:p>
      <w:pPr>
        <w:pStyle w:val="BodyText"/>
        <w:spacing w:line="364" w:lineRule="auto" w:before="211"/>
        <w:ind w:right="695" w:firstLine="480"/>
        <w:jc w:val="both"/>
      </w:pPr>
      <w:r>
        <w:rPr>
          <w:spacing w:val="-2"/>
        </w:rPr>
        <w:t>公司把公司治理与生产经营工作有机结合起来。严格按照《公司法》和国家相关法律、法规、规章的要求，建立现代企业制度，完善法人治理结构，规范公司运作。公司构建了扁平化的组织结构，合理减少管理层次，缩短纵向沟通距离，提高工作效率。每个部门都是其它部门的内部客户和服务者，双向岗位责任环环相扣，促进上下工序员工之间的沟通与合作，最大限度提高组织的运作效率。</w:t>
      </w:r>
    </w:p>
    <w:p>
      <w:pPr>
        <w:pStyle w:val="BodyText"/>
        <w:spacing w:before="20"/>
        <w:ind w:left="481" w:right="261"/>
        <w:jc w:val="center"/>
      </w:pPr>
      <w:r>
        <w:rPr>
          <w:spacing w:val="-2"/>
        </w:rPr>
        <w:t>公司组织机构图</w:t>
      </w:r>
    </w:p>
    <w:p>
      <w:pPr>
        <w:pStyle w:val="BodyText"/>
        <w:spacing w:before="3"/>
        <w:ind w:left="0"/>
        <w:rPr>
          <w:sz w:val="12"/>
        </w:rPr>
      </w:pPr>
      <w:r>
        <w:rPr>
          <w:sz w:val="12"/>
        </w:rPr>
        <w:drawing>
          <wp:anchor distT="0" distB="0" distL="0" distR="0" allowOverlap="1" layoutInCell="1" locked="0" behindDoc="1" simplePos="0" relativeHeight="487588864">
            <wp:simplePos x="0" y="0"/>
            <wp:positionH relativeFrom="page">
              <wp:posOffset>2023349</wp:posOffset>
            </wp:positionH>
            <wp:positionV relativeFrom="paragraph">
              <wp:posOffset>115008</wp:posOffset>
            </wp:positionV>
            <wp:extent cx="3508337" cy="2761392"/>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3508337" cy="2761392"/>
                    </a:xfrm>
                    <a:prstGeom prst="rect">
                      <a:avLst/>
                    </a:prstGeom>
                  </pic:spPr>
                </pic:pic>
              </a:graphicData>
            </a:graphic>
          </wp:anchor>
        </w:drawing>
      </w:r>
    </w:p>
    <w:p>
      <w:pPr>
        <w:pStyle w:val="BodyText"/>
        <w:spacing w:after="0"/>
        <w:rPr>
          <w:sz w:val="12"/>
        </w:rPr>
        <w:sectPr>
          <w:pgSz w:w="11930" w:h="16850"/>
          <w:pgMar w:header="0" w:footer="1099" w:top="1460" w:bottom="1280" w:left="1133" w:right="850"/>
        </w:sectPr>
      </w:pPr>
    </w:p>
    <w:p>
      <w:pPr>
        <w:pStyle w:val="BodyText"/>
        <w:spacing w:line="364" w:lineRule="auto" w:before="40"/>
        <w:ind w:right="336" w:firstLine="480"/>
      </w:pPr>
      <w:r>
        <w:rPr>
          <w:spacing w:val="-2"/>
        </w:rPr>
        <w:t>根据公司发展需要，制定各个部门职责，及其职务说明书与权限。形成岗位职责说</w:t>
      </w:r>
      <w:r>
        <w:rPr>
          <w:spacing w:val="-2"/>
          <w:position w:val="1"/>
        </w:rPr>
        <w:t>明</w:t>
      </w:r>
      <w:r>
        <w:rPr>
          <w:spacing w:val="-2"/>
        </w:rPr>
        <w:t>书。 为了更好的听取和采取员工、客户的各种意见和建议，有利于在不同的部门、职位和地区之间实现有效的沟通和技能的共享。公司针对性的设计了工作系统，并对各类别的信息沟通反馈设计了针对性的部门，明确其职责。</w:t>
      </w:r>
    </w:p>
    <w:p>
      <w:pPr>
        <w:pStyle w:val="BodyText"/>
        <w:spacing w:before="20"/>
        <w:ind w:left="648"/>
      </w:pPr>
      <w:r>
        <w:rPr>
          <w:spacing w:val="-1"/>
        </w:rPr>
        <w:t>公司各级部门按照明确的职务说明书和权限，共同确保公司产品和服务的质量。</w:t>
      </w:r>
    </w:p>
    <w:p>
      <w:pPr>
        <w:pStyle w:val="BodyText"/>
        <w:spacing w:before="211"/>
        <w:ind w:left="763"/>
      </w:pPr>
      <w:r>
        <w:rPr/>
        <w:t>（三）</w:t>
      </w:r>
      <w:r>
        <w:rPr>
          <w:spacing w:val="-2"/>
        </w:rPr>
        <w:t> 股东权益保护</w:t>
      </w:r>
    </w:p>
    <w:p>
      <w:pPr>
        <w:pStyle w:val="BodyText"/>
        <w:spacing w:line="364" w:lineRule="auto" w:before="211"/>
        <w:ind w:right="574" w:firstLine="480"/>
      </w:pPr>
      <w:r>
        <w:rPr>
          <w:spacing w:val="-12"/>
        </w:rPr>
        <w:t>公司重视对股东利益的保护，年终决算报表经审计后报董事会，确定利润分配方案，</w:t>
      </w:r>
      <w:r>
        <w:rPr>
          <w:spacing w:val="-2"/>
        </w:rPr>
        <w:t>经股东会批准向股东分红；审议重大事项时，召开股东大会，切实保证股东权益。</w:t>
      </w:r>
    </w:p>
    <w:p>
      <w:pPr>
        <w:pStyle w:val="BodyText"/>
        <w:spacing w:before="52"/>
        <w:ind w:left="763"/>
      </w:pPr>
      <w:r>
        <w:rPr/>
        <w:t>（四）</w:t>
      </w:r>
      <w:r>
        <w:rPr>
          <w:spacing w:val="-2"/>
        </w:rPr>
        <w:t> 职工权益保护</w:t>
      </w:r>
    </w:p>
    <w:p>
      <w:pPr>
        <w:pStyle w:val="BodyText"/>
        <w:spacing w:line="364" w:lineRule="auto" w:before="211"/>
        <w:ind w:right="695" w:firstLine="480"/>
        <w:jc w:val="both"/>
      </w:pPr>
      <w:r>
        <w:rPr>
          <w:spacing w:val="-2"/>
        </w:rPr>
        <w:t>好美秋千在谋求自身发展同时，时刻不忘为公司做出贡献的员工，公司领导心系员</w:t>
      </w:r>
      <w:r>
        <w:rPr>
          <w:spacing w:val="-21"/>
        </w:rPr>
        <w:t>工需求，切实把企业对员工的关心、关怀传递给每一个员工，让全体员工共享企业发展成</w:t>
      </w:r>
      <w:r>
        <w:rPr>
          <w:spacing w:val="-6"/>
        </w:rPr>
        <w:t>果。</w:t>
      </w:r>
    </w:p>
    <w:p>
      <w:pPr>
        <w:pStyle w:val="BodyText"/>
        <w:spacing w:before="49"/>
        <w:ind w:left="763"/>
      </w:pPr>
      <w:r>
        <w:rPr>
          <w:spacing w:val="-2"/>
        </w:rPr>
        <w:t>1</w:t>
      </w:r>
      <w:r>
        <w:rPr>
          <w:spacing w:val="-3"/>
        </w:rPr>
        <w:t>、营造以人为本，营造健康、安全、舒适的良好工作环境</w:t>
      </w:r>
    </w:p>
    <w:p>
      <w:pPr>
        <w:pStyle w:val="ListParagraph"/>
        <w:numPr>
          <w:ilvl w:val="0"/>
          <w:numId w:val="1"/>
        </w:numPr>
        <w:tabs>
          <w:tab w:pos="1375" w:val="left" w:leader="none"/>
        </w:tabs>
        <w:spacing w:line="364" w:lineRule="auto" w:before="212" w:after="0"/>
        <w:ind w:left="283" w:right="479" w:firstLine="480"/>
        <w:jc w:val="both"/>
        <w:rPr>
          <w:sz w:val="24"/>
        </w:rPr>
      </w:pPr>
      <w:r>
        <w:rPr>
          <w:spacing w:val="3"/>
          <w:sz w:val="24"/>
        </w:rPr>
        <w:t>公司为保障员工生命安全和职业健康，成立了安全生产委员会。安全生产委</w:t>
      </w:r>
      <w:r>
        <w:rPr>
          <w:spacing w:val="-3"/>
          <w:sz w:val="24"/>
        </w:rPr>
        <w:t>员会通过安全知识培训、开展安全比赛，强化全员安全意识，降低事故发生率。公司认</w:t>
      </w:r>
      <w:r>
        <w:rPr>
          <w:spacing w:val="-24"/>
          <w:sz w:val="24"/>
        </w:rPr>
        <w:t>真贯彻执行《中华人民共和国劳动法》、《中华人民共和国安全生产法》、《中华人民共和</w:t>
      </w:r>
      <w:r>
        <w:rPr>
          <w:spacing w:val="-12"/>
          <w:sz w:val="24"/>
        </w:rPr>
        <w:t>国职业病防治法》，对特殊工种采取特殊防护，配置必须的劳保用品。</w:t>
      </w:r>
    </w:p>
    <w:p>
      <w:pPr>
        <w:pStyle w:val="ListParagraph"/>
        <w:numPr>
          <w:ilvl w:val="0"/>
          <w:numId w:val="1"/>
        </w:numPr>
        <w:tabs>
          <w:tab w:pos="1338" w:val="left" w:leader="none"/>
        </w:tabs>
        <w:spacing w:line="364" w:lineRule="auto" w:before="12" w:after="0"/>
        <w:ind w:left="283" w:right="479" w:firstLine="480"/>
        <w:jc w:val="both"/>
        <w:rPr>
          <w:sz w:val="24"/>
        </w:rPr>
      </w:pPr>
      <w:r>
        <w:rPr>
          <w:spacing w:val="-2"/>
          <w:sz w:val="24"/>
        </w:rPr>
        <w:t>为了规范安全操作，公司会定期对车间及办公区域进行 </w:t>
      </w:r>
      <w:r>
        <w:rPr>
          <w:sz w:val="24"/>
        </w:rPr>
        <w:t>5S</w:t>
      </w:r>
      <w:r>
        <w:rPr>
          <w:spacing w:val="-6"/>
          <w:sz w:val="24"/>
        </w:rPr>
        <w:t> 安全检查，并及时</w:t>
      </w:r>
      <w:r>
        <w:rPr>
          <w:spacing w:val="-2"/>
          <w:sz w:val="24"/>
        </w:rPr>
        <w:t>记录安全隐患，改善车间及办公环境。公司会鼓励员工通过内部会议或文件、总经理信箱直接反映不安全因素和不规范操作，提交改进意见。公司会还通过每年举行多种活动让员工参与安全环境改善工作。</w:t>
      </w:r>
    </w:p>
    <w:p>
      <w:pPr>
        <w:pStyle w:val="ListParagraph"/>
        <w:numPr>
          <w:ilvl w:val="0"/>
          <w:numId w:val="1"/>
        </w:numPr>
        <w:tabs>
          <w:tab w:pos="1373" w:val="left" w:leader="none"/>
        </w:tabs>
        <w:spacing w:line="367" w:lineRule="auto" w:before="12" w:after="0"/>
        <w:ind w:left="283" w:right="480" w:firstLine="480"/>
        <w:jc w:val="left"/>
        <w:rPr>
          <w:sz w:val="24"/>
        </w:rPr>
      </w:pPr>
      <w:r>
        <w:rPr>
          <w:spacing w:val="1"/>
          <w:sz w:val="24"/>
        </w:rPr>
        <w:t>公司车间的工作环境中对员工身体最有影响的因素是废气、噪声、高温。对废气，噪声，公司按照环评验收要求的标准实行监控，确保达标。</w:t>
      </w:r>
    </w:p>
    <w:p>
      <w:pPr>
        <w:pStyle w:val="BodyText"/>
        <w:spacing w:line="364" w:lineRule="auto" w:before="46"/>
        <w:ind w:left="283" w:right="355" w:firstLine="480"/>
        <w:jc w:val="both"/>
      </w:pPr>
      <w:r>
        <w:rPr>
          <w:spacing w:val="7"/>
        </w:rPr>
        <w:t>2</w:t>
      </w:r>
      <w:r>
        <w:rPr>
          <w:spacing w:val="4"/>
        </w:rPr>
        <w:t>、保护员工权益，关爱员工，发放各种福利，并解决员工工作和生活中的实际问</w:t>
      </w:r>
      <w:r>
        <w:rPr>
          <w:spacing w:val="1"/>
        </w:rPr>
        <w:t>题和困难公司各类员工合同签订率 </w:t>
      </w:r>
      <w:r>
        <w:rPr/>
        <w:t>100%，</w:t>
      </w:r>
      <w:r>
        <w:rPr>
          <w:spacing w:val="-7"/>
        </w:rPr>
        <w:t>合同执行 </w:t>
      </w:r>
      <w:r>
        <w:rPr/>
        <w:t>100%，</w:t>
      </w:r>
      <w:r>
        <w:rPr>
          <w:spacing w:val="-1"/>
        </w:rPr>
        <w:t>加班时间按照国家法律规定执</w:t>
      </w:r>
      <w:r>
        <w:rPr>
          <w:spacing w:val="-2"/>
        </w:rPr>
        <w:t>行，社保完全按法律规定缴纳，公司根据国家劳动法律法规的相关要求制定了以岗位绩</w:t>
      </w:r>
      <w:r>
        <w:rPr/>
        <w:t>效工资制为主体的工资分配制度，按时足额发放员工薪酬，使员工薪酬与企业经营成果相匹配。</w:t>
      </w:r>
    </w:p>
    <w:p>
      <w:pPr>
        <w:pStyle w:val="BodyText"/>
        <w:spacing w:before="18"/>
        <w:ind w:left="763"/>
      </w:pPr>
      <w:r>
        <w:rPr>
          <w:spacing w:val="-1"/>
        </w:rPr>
        <w:t>高层领导及时倾听广大员工的心声，了解员工支持和保障措施的效果，进一步解决</w:t>
      </w:r>
    </w:p>
    <w:p>
      <w:pPr>
        <w:pStyle w:val="BodyText"/>
        <w:spacing w:after="0"/>
        <w:sectPr>
          <w:footerReference w:type="default" r:id="rId9"/>
          <w:pgSz w:w="11930" w:h="16850"/>
          <w:pgMar w:header="0" w:footer="1066" w:top="1480" w:bottom="1260" w:left="1133" w:right="850"/>
        </w:sectPr>
      </w:pPr>
    </w:p>
    <w:p>
      <w:pPr>
        <w:pStyle w:val="BodyText"/>
        <w:spacing w:line="364" w:lineRule="auto" w:before="41"/>
        <w:ind w:left="283" w:right="356"/>
        <w:jc w:val="both"/>
      </w:pPr>
      <w:r>
        <w:rPr/>
        <w:t>员工工作和生活中的实际问题和困难；对于具名的员工申诉，公司开通了畅通的员工申诉管理通道。无论是建议还是意见，对于各级人员的信息都进行详细的反馈，让员工了</w:t>
      </w:r>
      <w:r>
        <w:rPr>
          <w:spacing w:val="-2"/>
        </w:rPr>
        <w:t>解到公司关注了员工的想法，公司重视员工的想法。</w:t>
      </w:r>
    </w:p>
    <w:p>
      <w:pPr>
        <w:pStyle w:val="BodyText"/>
        <w:spacing w:line="364" w:lineRule="auto" w:before="18"/>
        <w:ind w:left="283" w:right="355" w:firstLine="480"/>
        <w:jc w:val="both"/>
      </w:pPr>
      <w:r>
        <w:rPr>
          <w:spacing w:val="-1"/>
        </w:rPr>
        <w:t>公司积极倡导“以人为本”的管理理念，在识别不同岗位类别人员的需求同时，还</w:t>
      </w:r>
      <w:r>
        <w:rPr/>
        <w:t>特别关注这些人群中的特殊群体，如关注女性员工的工作环境、工作时间、工作强度以</w:t>
      </w:r>
      <w:r>
        <w:rPr>
          <w:spacing w:val="-1"/>
        </w:rPr>
        <w:t>及长期性的职业发展、公平机会等因素。针对现在越来越多的 </w:t>
      </w:r>
      <w:r>
        <w:rPr/>
        <w:t>90</w:t>
      </w:r>
      <w:r>
        <w:rPr>
          <w:spacing w:val="-2"/>
        </w:rPr>
        <w:t> 后、</w:t>
      </w:r>
      <w:r>
        <w:rPr/>
        <w:t>00</w:t>
      </w:r>
      <w:r>
        <w:rPr>
          <w:spacing w:val="2"/>
        </w:rPr>
        <w:t> 后群体的特质</w:t>
      </w:r>
      <w:r>
        <w:rPr/>
        <w:t>给予更多的关注。同时公司针对不同层次的员工需求制订了各种保障措施，并对员工进</w:t>
      </w:r>
      <w:r>
        <w:rPr>
          <w:spacing w:val="-1"/>
        </w:rPr>
        <w:t>行针对性、个性化的全面支持，把公司打造成为真正的成长平台。公司积极开展员工满意度调查活动，不定期获取员工需求和期望，并积极满足这些需求和期望。员工满意度非常高。</w:t>
      </w:r>
    </w:p>
    <w:p>
      <w:pPr>
        <w:pStyle w:val="BodyText"/>
        <w:spacing w:line="364" w:lineRule="auto" w:before="17"/>
        <w:ind w:left="283" w:right="347" w:firstLine="480"/>
        <w:jc w:val="both"/>
      </w:pPr>
      <w:r>
        <w:rPr/>
        <w:t>员工是公司最宝贵的财富，公司的长远发展离不开全体员工的辛勤付出。始终坚持</w:t>
      </w:r>
      <w:r>
        <w:rPr>
          <w:spacing w:val="-5"/>
        </w:rPr>
        <w:t>以人为本，努力不懈地为员工提供舒适的工作环境、良好的福利 待遇、广阔的发展空间</w:t>
      </w:r>
      <w:r>
        <w:rPr>
          <w:spacing w:val="-1"/>
        </w:rPr>
        <w:t>与平台，使员工对公司的发展充满信心与向往。相信在未来的日子里，大家能够再接再厉，砥砺奋进，共创美好未来！逢年过节，为了感谢广大员工对公司的辛勤付出，公司</w:t>
      </w:r>
      <w:r>
        <w:rPr>
          <w:spacing w:val="-2"/>
        </w:rPr>
        <w:t>均会为全体员工发放精心选购的各种福利，以表公司对员工的节日问候及关怀。</w:t>
      </w:r>
    </w:p>
    <w:p>
      <w:pPr>
        <w:pStyle w:val="BodyText"/>
        <w:spacing w:line="364" w:lineRule="auto" w:before="21"/>
        <w:ind w:right="443" w:firstLine="477"/>
        <w:jc w:val="both"/>
      </w:pPr>
      <w:r>
        <w:rPr>
          <w:spacing w:val="-2"/>
        </w:rPr>
        <w:t>3、积极对员工进行各类培训，帮助员工建立职业发展规划，畅通晋升渠道为使不同能力素质、职业兴趣的员工都可以找到适合自己的上升路径，公司明确了不同职系的晋升</w:t>
      </w:r>
      <w:r>
        <w:rPr>
          <w:spacing w:val="-16"/>
        </w:rPr>
        <w:t>评估、管理办法，为员工提供“横向”、”纵向”并存的双轨制职业发展通道，充分给予员</w:t>
      </w:r>
      <w:r>
        <w:rPr>
          <w:spacing w:val="-2"/>
          <w:position w:val="1"/>
        </w:rPr>
        <w:t>工不断上升的机会。员工可根据自身实际情况选择“纵向发展、横向</w:t>
      </w:r>
      <w:r>
        <w:rPr>
          <w:spacing w:val="-2"/>
        </w:rPr>
        <w:t>发展、综合发展”职业生涯发展方式。</w:t>
      </w:r>
    </w:p>
    <w:p>
      <w:pPr>
        <w:pStyle w:val="BodyText"/>
        <w:spacing w:line="364" w:lineRule="auto" w:before="48"/>
        <w:ind w:right="455" w:firstLine="480"/>
        <w:jc w:val="both"/>
      </w:pPr>
      <w:r>
        <w:rPr>
          <w:spacing w:val="-2"/>
        </w:rPr>
        <w:t>为增强员工职业规划意识，公司企管部专门制定了职业生涯规划的制度。员工试用期</w:t>
      </w:r>
      <w:r>
        <w:rPr/>
        <w:t>结束后，公司对员工进行个人特长、技能评估和职业倾向调查，帮助员工自我认识。 如</w:t>
      </w:r>
    </w:p>
    <w:p>
      <w:pPr>
        <w:pStyle w:val="BodyText"/>
        <w:spacing w:line="362" w:lineRule="auto" w:before="1"/>
        <w:ind w:right="65"/>
      </w:pPr>
      <w:r>
        <w:rPr>
          <w:spacing w:val="-19"/>
        </w:rPr>
        <w:t>调查员工职业兴趣、资质、技能、个人背景等，设立未来职业目标，制定发展计划等。同时，</w:t>
      </w:r>
      <w:r>
        <w:rPr>
          <w:spacing w:val="-2"/>
        </w:rPr>
        <w:t>人事专员对员工职业生涯目标实施定期跟踪管理，督导员工往生涯设定的目标方向发展，</w:t>
      </w:r>
    </w:p>
    <w:p>
      <w:pPr>
        <w:pStyle w:val="BodyText"/>
        <w:spacing w:before="5"/>
      </w:pPr>
      <w:r>
        <w:rPr>
          <w:spacing w:val="-1"/>
        </w:rPr>
        <w:t>最终实现职业生涯目标。</w:t>
      </w:r>
    </w:p>
    <w:p>
      <w:pPr>
        <w:pStyle w:val="BodyText"/>
        <w:spacing w:line="364" w:lineRule="auto" w:before="178"/>
        <w:ind w:right="476" w:firstLine="480"/>
        <w:jc w:val="both"/>
      </w:pPr>
      <w:r>
        <w:rPr/>
        <w:t>在做好员工职业发展指引的基础上，公司还积极构建多种学习成长平台，如公司三</w:t>
      </w:r>
      <w:r>
        <w:rPr>
          <w:spacing w:val="-2"/>
        </w:rPr>
        <w:t>级培训、员工换岗、后备人才培养计划等，并与知名培训机构合作，在质量、安全、个</w:t>
      </w:r>
      <w:r>
        <w:rPr/>
        <w:t>人能力等各方面进行培训，帮助员工实现职业发展，初步形成了职前培养与职后发展与培训提升良性循环的职业教育体系，促进了员工职业的快速稳健发展。</w:t>
      </w:r>
    </w:p>
    <w:p>
      <w:pPr>
        <w:pStyle w:val="BodyText"/>
        <w:spacing w:before="12"/>
        <w:ind w:left="763"/>
      </w:pPr>
      <w:r>
        <w:rPr>
          <w:spacing w:val="-1"/>
        </w:rPr>
        <w:t>公司定期评选优秀员工，为优秀员工提供更广阔的晋升通道。公司还在年度评选优</w:t>
      </w:r>
    </w:p>
    <w:p>
      <w:pPr>
        <w:pStyle w:val="BodyText"/>
        <w:spacing w:after="0"/>
        <w:sectPr>
          <w:pgSz w:w="11930" w:h="16850"/>
          <w:pgMar w:header="0" w:footer="1066" w:top="1480" w:bottom="1260" w:left="1133" w:right="850"/>
        </w:sectPr>
      </w:pPr>
    </w:p>
    <w:p>
      <w:pPr>
        <w:pStyle w:val="BodyText"/>
        <w:spacing w:line="364" w:lineRule="auto" w:before="41"/>
        <w:ind w:left="283" w:right="482"/>
      </w:pPr>
      <w:r>
        <w:rPr>
          <w:spacing w:val="-2"/>
        </w:rPr>
        <w:t>秀员工，并为其颁奖。公司定期或不定期组织公司内外部培训，着力提升员工的整体素质及工作能力。</w:t>
      </w:r>
    </w:p>
    <w:p>
      <w:pPr>
        <w:pStyle w:val="BodyText"/>
        <w:spacing w:line="364" w:lineRule="auto"/>
        <w:ind w:right="420" w:firstLine="477"/>
        <w:jc w:val="both"/>
      </w:pPr>
      <w:r>
        <w:rPr/>
        <w:t>4</w:t>
      </w:r>
      <w:r>
        <w:rPr>
          <w:spacing w:val="-2"/>
        </w:rPr>
        <w:t>、组织开展多种形式的群众性活动 公司积极鼓励员工参与群众性质量管理，充分发挥每个员工的力量，来提高公司的质量效益。公司群众性质量管理活动坚持“广泛动员、全员参与”原则，以普通一线员 工为质量创新的主力，将 </w:t>
      </w:r>
      <w:r>
        <w:rPr/>
        <w:t>QC</w:t>
      </w:r>
      <w:r>
        <w:rPr>
          <w:spacing w:val="-3"/>
        </w:rPr>
        <w:t> 小组、合理化建议、</w:t>
      </w:r>
      <w:r>
        <w:rPr/>
        <w:t>5S</w:t>
      </w:r>
      <w:r>
        <w:rPr>
          <w:spacing w:val="-6"/>
        </w:rPr>
        <w:t> 活</w:t>
      </w:r>
      <w:r>
        <w:rPr>
          <w:spacing w:val="-2"/>
        </w:rPr>
        <w:t>动作为公司全员质量活动的平台，通过各类技术比武、合理化建议排名等活动激发员工参与热情。公司提供各项活动所需的资源，并通过对活动成果评定、认可和激励员工参与质量管理活动的积极性。</w:t>
      </w:r>
    </w:p>
    <w:p>
      <w:pPr>
        <w:pStyle w:val="BodyText"/>
        <w:spacing w:line="364" w:lineRule="auto" w:before="17"/>
        <w:ind w:right="350" w:firstLine="480"/>
        <w:jc w:val="both"/>
      </w:pPr>
      <w:r>
        <w:rPr>
          <w:spacing w:val="5"/>
        </w:rPr>
        <w:t>为了营造公司良好的竞争环境，提高广大员工的积极性，提升大家安全生产、清洁</w:t>
      </w:r>
      <w:r>
        <w:rPr/>
        <w:t>环境的意识，公司将从产品质量、清洁卫生、设备保养三大块定期评选出集体先进、个</w:t>
      </w:r>
      <w:r>
        <w:rPr>
          <w:spacing w:val="2"/>
        </w:rPr>
        <w:t>人先进，分别授予流动红旗及奖金，希望全体员工勇于进取，学习好的经验和技能，争当先进，敢当先进，创造你追我赶的良好氛围，打造好美秋千标杆。</w:t>
      </w:r>
    </w:p>
    <w:p>
      <w:pPr>
        <w:pStyle w:val="BodyText"/>
        <w:spacing w:before="17"/>
        <w:ind w:left="648"/>
      </w:pPr>
      <w:r>
        <w:rPr/>
        <w:t>（四）</w:t>
      </w:r>
      <w:r>
        <w:rPr>
          <w:spacing w:val="-1"/>
        </w:rPr>
        <w:t>客户、供应商等其他相关方权益保护</w:t>
      </w:r>
    </w:p>
    <w:p>
      <w:pPr>
        <w:pStyle w:val="BodyText"/>
        <w:spacing w:line="364" w:lineRule="auto" w:before="211"/>
        <w:ind w:left="283" w:right="115" w:firstLine="480"/>
      </w:pPr>
      <w:r>
        <w:rPr>
          <w:spacing w:val="1"/>
        </w:rPr>
        <w:t>公司秉承“安全、品质、创新、诚信、客户为本”的核心价值观，与客户、供应商</w:t>
      </w:r>
      <w:r>
        <w:rPr>
          <w:spacing w:val="1"/>
        </w:rPr>
        <w:t>   </w:t>
      </w:r>
      <w:r>
        <w:rPr>
          <w:spacing w:val="-1"/>
        </w:rPr>
        <w:t>等相关方进行友好协商合作，严格履行合同，诚信相处，互惠多赢，共同发展，共享价值</w:t>
      </w:r>
      <w:r>
        <w:rPr/>
        <w:t>。公司对于顾客的利益保护主要通过以下方式实现：从生产到物流环节保证产品的安全性</w:t>
      </w:r>
      <w:r>
        <w:rPr>
          <w:spacing w:val="-2"/>
        </w:rPr>
        <w:t>及有效性；建立完善的产品质量问题和投诉处理机制；提供全方位的产品使用咨询服务；</w:t>
      </w:r>
      <w:r>
        <w:rPr>
          <w:spacing w:val="2"/>
        </w:rPr>
        <w:t>以业务代表及经理定期拜访为特色的客户管理机制；完善顾客满意度调查机制。公司一直</w:t>
      </w:r>
      <w:r>
        <w:rPr>
          <w:spacing w:val="-1"/>
        </w:rPr>
        <w:t>坚持诚信经营、利益共享、互惠互利的原则，不断完善采购流程与机制，对供应商管理遵循着风险管理方法和生命周期模式，在原辅材料采购上与供应商建立了较长期的协作关系</w:t>
      </w:r>
      <w:r>
        <w:rPr>
          <w:spacing w:val="-9"/>
        </w:rPr>
        <w:t>，不断加强供方管理，帮助供应商提升质量管理水平。与主要物料供应商签订有质量协议，在协议中明确了双方所承担的质量责任。建立有物料供应商审计和批准的操作规程，明确了供应商的资质、选择的原则、质量评估方式、质量审计内容、评估标准、质量审计人员的</w:t>
      </w:r>
      <w:r>
        <w:rPr>
          <w:spacing w:val="-8"/>
        </w:rPr>
        <w:t>组成及资质，确定了现场质量审计周期以及物料供应商批准的程序。</w:t>
      </w:r>
    </w:p>
    <w:p>
      <w:pPr>
        <w:pStyle w:val="BodyText"/>
        <w:spacing w:before="15"/>
        <w:ind w:left="763"/>
      </w:pPr>
      <w:r>
        <w:rPr/>
        <w:t>（五）</w:t>
      </w:r>
      <w:r>
        <w:rPr>
          <w:spacing w:val="-1"/>
        </w:rPr>
        <w:t>环境保护与可持续发展</w:t>
      </w:r>
    </w:p>
    <w:p>
      <w:pPr>
        <w:pStyle w:val="BodyText"/>
        <w:spacing w:line="364" w:lineRule="auto" w:before="213"/>
        <w:ind w:right="443" w:firstLine="477"/>
        <w:jc w:val="both"/>
      </w:pPr>
      <w:r>
        <w:rPr>
          <w:spacing w:val="-2"/>
        </w:rPr>
        <w:t>1、节能减排 重视节能降耗与环保工作：积极开展节能降耗月活动、组织节能降耗工作小组、建立清洁生产工作小组，组建安全管理部门等。在制造过程中融入节能环保，在生产过程中不断改进生产流程，优化生产工艺，研究新型环保节能工艺技术，降低物料与能源消耗，减少废弃物，致力于建设无害于环境的绿色工厂。</w:t>
      </w:r>
    </w:p>
    <w:p>
      <w:pPr>
        <w:pStyle w:val="BodyText"/>
        <w:spacing w:after="0" w:line="364" w:lineRule="auto"/>
        <w:jc w:val="both"/>
        <w:sectPr>
          <w:pgSz w:w="11930" w:h="16850"/>
          <w:pgMar w:header="0" w:footer="1066" w:top="1480" w:bottom="1280" w:left="1133" w:right="850"/>
        </w:sectPr>
      </w:pPr>
    </w:p>
    <w:p>
      <w:pPr>
        <w:pStyle w:val="BodyText"/>
        <w:spacing w:line="364" w:lineRule="auto" w:before="41"/>
        <w:ind w:left="283" w:right="355" w:firstLine="480"/>
        <w:jc w:val="both"/>
      </w:pPr>
      <w:r>
        <w:rPr>
          <w:spacing w:val="3"/>
        </w:rPr>
        <w:t>公司已经建立并运行了 </w:t>
      </w:r>
      <w:r>
        <w:rPr/>
        <w:t>ISO14001</w:t>
      </w:r>
      <w:r>
        <w:rPr>
          <w:spacing w:val="1"/>
        </w:rPr>
        <w:t> 环境安全管理体系，对公司环境管理体系的运行</w:t>
      </w:r>
      <w:r>
        <w:rPr>
          <w:spacing w:val="-10"/>
        </w:rPr>
        <w:t>情况实施定期和不定期的检查。公司采用先进的工艺、技术和装备，全面实施清洁生产，</w:t>
      </w:r>
      <w:r>
        <w:rPr>
          <w:spacing w:val="-1"/>
        </w:rPr>
        <w:t>降低单耗，提高原料利用率，从源头减少污染物产生。落实了各项污染防治措施，重点做好了以下工作:</w:t>
      </w:r>
    </w:p>
    <w:p>
      <w:pPr>
        <w:pStyle w:val="BodyText"/>
        <w:spacing w:before="17"/>
        <w:ind w:left="595"/>
      </w:pPr>
      <w:r>
        <w:rPr>
          <w:spacing w:val="-12"/>
        </w:rPr>
        <w:t>① 废水防治方面</w:t>
      </w:r>
    </w:p>
    <w:p>
      <w:pPr>
        <w:pStyle w:val="BodyText"/>
        <w:spacing w:line="364" w:lineRule="auto" w:before="179"/>
        <w:ind w:right="407" w:firstLine="480"/>
      </w:pPr>
      <w:r>
        <w:rPr>
          <w:spacing w:val="-2"/>
        </w:rPr>
        <w:t>公司不涉及生产废水，生活污水经化粪池预处理排入市政污水管网，送宁海县宁东污水处理厂处理。经历年检测结果显示达标。</w:t>
      </w:r>
    </w:p>
    <w:p>
      <w:pPr>
        <w:pStyle w:val="BodyText"/>
        <w:spacing w:before="21"/>
        <w:ind w:left="595"/>
      </w:pPr>
      <w:r>
        <w:rPr>
          <w:spacing w:val="-12"/>
        </w:rPr>
        <w:t>② 废气防治方面</w:t>
      </w:r>
    </w:p>
    <w:p>
      <w:pPr>
        <w:pStyle w:val="BodyText"/>
        <w:spacing w:line="364" w:lineRule="auto" w:before="180"/>
        <w:ind w:right="527" w:firstLine="480"/>
      </w:pPr>
      <w:r>
        <w:rPr>
          <w:spacing w:val="-1"/>
        </w:rPr>
        <w:t>公司拉丝废气、注塑废气、吹塑废气有组织排放。食堂油烟经 </w:t>
      </w:r>
      <w:r>
        <w:rPr/>
        <w:t>TZL-DG-12</w:t>
      </w:r>
      <w:r>
        <w:rPr>
          <w:spacing w:val="-4"/>
        </w:rPr>
        <w:t> 型静电光</w:t>
      </w:r>
      <w:r>
        <w:rPr>
          <w:spacing w:val="-2"/>
        </w:rPr>
        <w:t>解复合式油烟器净化后，通过高于屋顶 </w:t>
      </w:r>
      <w:r>
        <w:rPr/>
        <w:t>1</w:t>
      </w:r>
      <w:r>
        <w:rPr>
          <w:spacing w:val="-5"/>
        </w:rPr>
        <w:t> 米的排烟管排放，经历年检测结果显示达标。</w:t>
      </w:r>
    </w:p>
    <w:p>
      <w:pPr>
        <w:pStyle w:val="BodyText"/>
        <w:spacing w:before="18"/>
        <w:ind w:left="595"/>
      </w:pPr>
      <w:r>
        <w:rPr>
          <w:spacing w:val="-12"/>
        </w:rPr>
        <w:t>③ 噪声防治方面</w:t>
      </w:r>
    </w:p>
    <w:p>
      <w:pPr>
        <w:pStyle w:val="BodyText"/>
        <w:spacing w:line="364" w:lineRule="auto" w:before="182"/>
        <w:ind w:right="638" w:firstLine="480"/>
        <w:jc w:val="both"/>
      </w:pPr>
      <w:r>
        <w:rPr>
          <w:spacing w:val="-2"/>
        </w:rPr>
        <w:t>选用低噪声设备，合理布局高噪声设备位置；对设备做减振处理，车间使用隔声效</w:t>
      </w:r>
      <w:r>
        <w:rPr>
          <w:spacing w:val="-4"/>
        </w:rPr>
        <w:t>果好的材料；加强设备维修保养，保证了设备运行状态良好;合理安排工作时间，加强职</w:t>
      </w:r>
      <w:r>
        <w:rPr>
          <w:spacing w:val="-21"/>
        </w:rPr>
        <w:t>工环保意识教育，防止人为噪声；厂界噪声排放执行《工业企业厂界环境噪声排放标准》</w:t>
      </w:r>
      <w:r>
        <w:rPr>
          <w:spacing w:val="-2"/>
        </w:rPr>
        <w:t> (GB12348-2008)中的标准。检测结果显示达标。</w:t>
      </w:r>
    </w:p>
    <w:p>
      <w:pPr>
        <w:pStyle w:val="BodyText"/>
        <w:spacing w:before="20"/>
        <w:ind w:left="595"/>
        <w:jc w:val="both"/>
      </w:pPr>
      <w:r>
        <w:rPr>
          <w:spacing w:val="-12"/>
        </w:rPr>
        <w:t>④ 固废防治方面</w:t>
      </w:r>
    </w:p>
    <w:p>
      <w:pPr>
        <w:pStyle w:val="BodyText"/>
        <w:spacing w:line="364" w:lineRule="auto" w:before="179"/>
        <w:ind w:right="647" w:firstLine="480"/>
        <w:jc w:val="both"/>
      </w:pPr>
      <w:r>
        <w:rPr>
          <w:spacing w:val="-2"/>
        </w:rPr>
        <w:t>按照“资源化、减量化、无害化”的固废处置原则，按规定妥善处置固体废物，提高综合利用率，防止产生二次污染。公司产生的固废绳边角料和不合格产品出售给物资回收部门，生活垃圾委托环卫部门清运。废活性炭委托宁波市北仑环保固废处置有限公</w:t>
      </w:r>
      <w:r>
        <w:rPr>
          <w:spacing w:val="-4"/>
        </w:rPr>
        <w:t>司处置。</w:t>
      </w:r>
    </w:p>
    <w:p>
      <w:pPr>
        <w:pStyle w:val="BodyText"/>
        <w:spacing w:before="20"/>
        <w:ind w:left="595"/>
        <w:jc w:val="both"/>
      </w:pPr>
      <w:r>
        <w:rPr>
          <w:spacing w:val="-12"/>
        </w:rPr>
        <w:t>⑤ 节能降耗方面</w:t>
      </w:r>
    </w:p>
    <w:p>
      <w:pPr>
        <w:pStyle w:val="BodyText"/>
        <w:spacing w:before="180"/>
        <w:ind w:left="607"/>
      </w:pPr>
      <w:r>
        <w:rPr>
          <w:spacing w:val="-20"/>
        </w:rPr>
        <w:t>公司秉承绿色生态“绿色制造”理念，采用节能设施设备，极大地节约了电力能源。</w:t>
      </w:r>
    </w:p>
    <w:p>
      <w:pPr>
        <w:pStyle w:val="BodyText"/>
        <w:spacing w:before="160"/>
        <w:ind w:left="607"/>
      </w:pPr>
      <w:r>
        <w:rPr>
          <w:spacing w:val="-1"/>
        </w:rPr>
        <w:t>⑥健全了环保管理制度</w:t>
      </w:r>
    </w:p>
    <w:p>
      <w:pPr>
        <w:pStyle w:val="BodyText"/>
        <w:spacing w:line="364" w:lineRule="auto" w:before="180"/>
        <w:ind w:right="679" w:firstLine="480"/>
      </w:pPr>
      <w:r>
        <w:rPr>
          <w:spacing w:val="-2"/>
        </w:rPr>
        <w:t>加强了日常管理和各类设备的维护、检查，制定事故处理应急方案，落实应急处置各项措施，确保“三废”全面稳定达标排放，固废得到安全处置。</w:t>
      </w:r>
    </w:p>
    <w:p>
      <w:pPr>
        <w:pStyle w:val="BodyText"/>
        <w:spacing w:before="21"/>
        <w:ind w:left="763"/>
      </w:pPr>
      <w:r>
        <w:rPr>
          <w:spacing w:val="-2"/>
        </w:rPr>
        <w:t>2</w:t>
      </w:r>
      <w:r>
        <w:rPr>
          <w:spacing w:val="-4"/>
        </w:rPr>
        <w:t>、绿色环保</w:t>
      </w:r>
    </w:p>
    <w:p>
      <w:pPr>
        <w:pStyle w:val="BodyText"/>
        <w:spacing w:line="364" w:lineRule="auto" w:before="179"/>
        <w:ind w:right="695" w:firstLine="480"/>
        <w:jc w:val="both"/>
      </w:pPr>
      <w:r>
        <w:rPr>
          <w:spacing w:val="-2"/>
        </w:rPr>
        <w:t>公司积极响应国家建设“资源节约型、环境友好型”企业的号召，高度重视环保责任，始终坚持全面落实科学发展观和环境保护，遵守国家和地方有关环境保护的法律法</w:t>
      </w:r>
      <w:r>
        <w:rPr>
          <w:spacing w:val="-3"/>
        </w:rPr>
        <w:t>规和排放指标，认真落实各项环保管理制度，积极实施可持续发展战略，不断推进节能</w:t>
      </w:r>
    </w:p>
    <w:p>
      <w:pPr>
        <w:pStyle w:val="BodyText"/>
        <w:spacing w:after="0" w:line="364" w:lineRule="auto"/>
        <w:jc w:val="both"/>
        <w:sectPr>
          <w:pgSz w:w="11930" w:h="16850"/>
          <w:pgMar w:header="0" w:footer="1066" w:top="1480" w:bottom="1280" w:left="1133" w:right="850"/>
        </w:sectPr>
      </w:pPr>
    </w:p>
    <w:p>
      <w:pPr>
        <w:pStyle w:val="BodyText"/>
        <w:spacing w:before="41"/>
      </w:pPr>
      <w:r>
        <w:rPr>
          <w:spacing w:val="-1"/>
        </w:rPr>
        <w:t>减排与环境保护工作，追求经济与环境的协调发展。</w:t>
      </w:r>
    </w:p>
    <w:p>
      <w:pPr>
        <w:pStyle w:val="BodyText"/>
        <w:spacing w:line="364" w:lineRule="auto" w:before="211"/>
        <w:ind w:left="283" w:right="482" w:firstLine="480"/>
      </w:pPr>
      <w:r>
        <w:rPr>
          <w:spacing w:val="-2"/>
        </w:rPr>
        <w:t>公司重视节能清洁生产教育，坚持环境职业健康安全方针，持续为清洁生产做出努</w:t>
      </w:r>
      <w:r>
        <w:rPr>
          <w:spacing w:val="-6"/>
        </w:rPr>
        <w:t>力。</w:t>
      </w:r>
    </w:p>
    <w:p>
      <w:pPr>
        <w:pStyle w:val="BodyText"/>
        <w:spacing w:before="20"/>
        <w:ind w:left="763"/>
      </w:pPr>
      <w:r>
        <w:rPr/>
        <w:t>（五）</w:t>
      </w:r>
      <w:r>
        <w:rPr>
          <w:spacing w:val="-1"/>
        </w:rPr>
        <w:t> 公共关系和社会公益事业</w:t>
      </w:r>
    </w:p>
    <w:p>
      <w:pPr>
        <w:pStyle w:val="BodyText"/>
        <w:spacing w:line="364" w:lineRule="auto" w:before="180"/>
        <w:ind w:right="574" w:firstLine="480"/>
      </w:pPr>
      <w:r>
        <w:rPr>
          <w:spacing w:val="-2"/>
        </w:rPr>
        <w:t>公共关系是企业与外部沟通的桥梁，公益事业是企业回报社会的重要方式。公司在做好企业发展的同时，注重维护公共关系，积极参加社会公益事业活动，促进企业与社会的共同进步。和谐的公共关系和良好的公共关系有助于企业形象的塑造。公司自觉、积极配合政府部门的监督与检查；主动关注社会舆论，接受媒体采访，向社会各界介绍</w:t>
      </w:r>
      <w:r>
        <w:rPr>
          <w:spacing w:val="-15"/>
        </w:rPr>
        <w:t>公司相关情况，并虚心接受各方的意见和建议，充分尊重所有与公司相关的群体和个人，</w:t>
      </w:r>
      <w:r>
        <w:rPr>
          <w:spacing w:val="-2"/>
        </w:rPr>
        <w:t>构筑和谐的公共关系。</w:t>
      </w:r>
    </w:p>
    <w:p>
      <w:pPr>
        <w:pStyle w:val="BodyText"/>
        <w:spacing w:line="364" w:lineRule="auto" w:before="19"/>
        <w:ind w:right="479" w:firstLine="480"/>
        <w:jc w:val="both"/>
      </w:pPr>
      <w:r>
        <w:rPr/>
        <w:t>公司始终不忘回报社会，承担社会责任，主要体现在以下四个重点：慈善捐助、教育文化以及重大灾害事件救助，通过制定年度公益活动计划，从预算、人员等方面保证</w:t>
      </w:r>
      <w:r>
        <w:rPr>
          <w:spacing w:val="-2"/>
        </w:rPr>
        <w:t>有计划地开展公益支持活动。</w:t>
      </w:r>
    </w:p>
    <w:p>
      <w:pPr>
        <w:pStyle w:val="BodyText"/>
        <w:spacing w:line="364" w:lineRule="auto" w:before="18"/>
        <w:ind w:right="482" w:firstLine="480"/>
        <w:jc w:val="both"/>
      </w:pPr>
      <w:r>
        <w:rPr>
          <w:spacing w:val="1"/>
        </w:rPr>
        <w:t>一直将社会公益活动视为企业活动的一个重要组成部分。高层领导和相关部门对公</w:t>
      </w:r>
      <w:r>
        <w:rPr>
          <w:spacing w:val="-1"/>
        </w:rPr>
        <w:t>益支持进行系统策划，根据企业不同发展阶段和战略重点确定投入公益支持的原则和优先次序，做到既真正有利于社会，又利于企业发展。结合企业的使命、愿景和价值观以</w:t>
      </w:r>
      <w:r>
        <w:rPr/>
        <w:t>及企业发展战略确定了公益支持，确定了重点支持的公益领域为教育、文化、抗震救灾</w:t>
      </w:r>
      <w:r>
        <w:rPr>
          <w:spacing w:val="-1"/>
        </w:rPr>
        <w:t>助残扶贫以及社区支持等。</w:t>
      </w:r>
    </w:p>
    <w:p>
      <w:pPr>
        <w:pStyle w:val="BodyText"/>
        <w:spacing w:before="18"/>
        <w:ind w:left="648"/>
      </w:pPr>
      <w:r>
        <w:rPr>
          <w:spacing w:val="-3"/>
        </w:rPr>
        <w:t>好美秋千积极投身到社会慈善中去，做好表率。近年来公司捐赠情况如下。</w:t>
      </w:r>
    </w:p>
    <w:p>
      <w:pPr>
        <w:pStyle w:val="BodyText"/>
        <w:ind w:left="0"/>
        <w:rPr>
          <w:sz w:val="20"/>
        </w:rPr>
      </w:pPr>
    </w:p>
    <w:p>
      <w:pPr>
        <w:pStyle w:val="BodyText"/>
        <w:spacing w:before="34"/>
        <w:ind w:left="0"/>
        <w:rPr>
          <w:sz w:val="20"/>
        </w:rPr>
      </w:pPr>
    </w:p>
    <w:tbl>
      <w:tblPr>
        <w:tblW w:w="0" w:type="auto"/>
        <w:jc w:val="left"/>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0"/>
        <w:gridCol w:w="4292"/>
        <w:gridCol w:w="1080"/>
      </w:tblGrid>
      <w:tr>
        <w:trPr>
          <w:trHeight w:val="559" w:hRule="atLeast"/>
        </w:trPr>
        <w:tc>
          <w:tcPr>
            <w:tcW w:w="1800" w:type="dxa"/>
          </w:tcPr>
          <w:p>
            <w:pPr>
              <w:pStyle w:val="TableParagraph"/>
              <w:ind w:left="9"/>
              <w:rPr>
                <w:sz w:val="24"/>
              </w:rPr>
            </w:pPr>
            <w:r>
              <w:rPr>
                <w:spacing w:val="-5"/>
                <w:sz w:val="24"/>
              </w:rPr>
              <w:t>日期</w:t>
            </w:r>
          </w:p>
        </w:tc>
        <w:tc>
          <w:tcPr>
            <w:tcW w:w="4292" w:type="dxa"/>
          </w:tcPr>
          <w:p>
            <w:pPr>
              <w:pStyle w:val="TableParagraph"/>
              <w:rPr>
                <w:sz w:val="24"/>
              </w:rPr>
            </w:pPr>
            <w:r>
              <w:rPr>
                <w:spacing w:val="-3"/>
                <w:sz w:val="24"/>
              </w:rPr>
              <w:t>公益活动</w:t>
            </w:r>
          </w:p>
        </w:tc>
        <w:tc>
          <w:tcPr>
            <w:tcW w:w="1080" w:type="dxa"/>
          </w:tcPr>
          <w:p>
            <w:pPr>
              <w:pStyle w:val="TableParagraph"/>
              <w:rPr>
                <w:sz w:val="24"/>
              </w:rPr>
            </w:pPr>
            <w:r>
              <w:rPr>
                <w:spacing w:val="-5"/>
                <w:sz w:val="24"/>
              </w:rPr>
              <w:t>金额</w:t>
            </w:r>
          </w:p>
        </w:tc>
      </w:tr>
      <w:tr>
        <w:trPr>
          <w:trHeight w:val="556" w:hRule="atLeast"/>
        </w:trPr>
        <w:tc>
          <w:tcPr>
            <w:tcW w:w="1800" w:type="dxa"/>
          </w:tcPr>
          <w:p>
            <w:pPr>
              <w:pStyle w:val="TableParagraph"/>
              <w:ind w:left="9"/>
              <w:rPr>
                <w:sz w:val="24"/>
              </w:rPr>
            </w:pPr>
            <w:r>
              <w:rPr>
                <w:spacing w:val="-2"/>
                <w:sz w:val="24"/>
              </w:rPr>
              <w:t>2022.4.30</w:t>
            </w:r>
          </w:p>
        </w:tc>
        <w:tc>
          <w:tcPr>
            <w:tcW w:w="4292" w:type="dxa"/>
          </w:tcPr>
          <w:p>
            <w:pPr>
              <w:pStyle w:val="TableParagraph"/>
              <w:rPr>
                <w:sz w:val="24"/>
              </w:rPr>
            </w:pPr>
            <w:r>
              <w:rPr>
                <w:spacing w:val="-2"/>
                <w:sz w:val="24"/>
              </w:rPr>
              <w:t>防护服赞助费</w:t>
            </w:r>
          </w:p>
        </w:tc>
        <w:tc>
          <w:tcPr>
            <w:tcW w:w="1080" w:type="dxa"/>
          </w:tcPr>
          <w:p>
            <w:pPr>
              <w:pStyle w:val="TableParagraph"/>
              <w:rPr>
                <w:sz w:val="24"/>
              </w:rPr>
            </w:pPr>
            <w:r>
              <w:rPr>
                <w:spacing w:val="-2"/>
                <w:sz w:val="24"/>
              </w:rPr>
              <w:t>100000</w:t>
            </w:r>
          </w:p>
        </w:tc>
      </w:tr>
      <w:tr>
        <w:trPr>
          <w:trHeight w:val="558" w:hRule="atLeast"/>
        </w:trPr>
        <w:tc>
          <w:tcPr>
            <w:tcW w:w="1800" w:type="dxa"/>
          </w:tcPr>
          <w:p>
            <w:pPr>
              <w:pStyle w:val="TableParagraph"/>
              <w:spacing w:before="4"/>
              <w:ind w:left="9"/>
              <w:rPr>
                <w:sz w:val="24"/>
              </w:rPr>
            </w:pPr>
            <w:r>
              <w:rPr>
                <w:spacing w:val="-2"/>
                <w:sz w:val="24"/>
              </w:rPr>
              <w:t>2022.10.31</w:t>
            </w:r>
          </w:p>
        </w:tc>
        <w:tc>
          <w:tcPr>
            <w:tcW w:w="4292" w:type="dxa"/>
          </w:tcPr>
          <w:p>
            <w:pPr>
              <w:pStyle w:val="TableParagraph"/>
              <w:spacing w:before="4"/>
              <w:rPr>
                <w:sz w:val="24"/>
              </w:rPr>
            </w:pPr>
            <w:r>
              <w:rPr>
                <w:spacing w:val="-3"/>
                <w:sz w:val="24"/>
              </w:rPr>
              <w:t>公益捐赠</w:t>
            </w:r>
          </w:p>
        </w:tc>
        <w:tc>
          <w:tcPr>
            <w:tcW w:w="1080" w:type="dxa"/>
          </w:tcPr>
          <w:p>
            <w:pPr>
              <w:pStyle w:val="TableParagraph"/>
              <w:spacing w:before="4"/>
              <w:rPr>
                <w:sz w:val="24"/>
              </w:rPr>
            </w:pPr>
            <w:r>
              <w:rPr>
                <w:spacing w:val="-2"/>
                <w:sz w:val="24"/>
              </w:rPr>
              <w:t>112000</w:t>
            </w:r>
          </w:p>
        </w:tc>
      </w:tr>
      <w:tr>
        <w:trPr>
          <w:trHeight w:val="558" w:hRule="atLeast"/>
        </w:trPr>
        <w:tc>
          <w:tcPr>
            <w:tcW w:w="1800" w:type="dxa"/>
          </w:tcPr>
          <w:p>
            <w:pPr>
              <w:pStyle w:val="TableParagraph"/>
              <w:ind w:left="9"/>
              <w:rPr>
                <w:sz w:val="24"/>
              </w:rPr>
            </w:pPr>
            <w:r>
              <w:rPr>
                <w:spacing w:val="-2"/>
                <w:sz w:val="24"/>
              </w:rPr>
              <w:t>2023.11.30</w:t>
            </w:r>
          </w:p>
        </w:tc>
        <w:tc>
          <w:tcPr>
            <w:tcW w:w="4292" w:type="dxa"/>
          </w:tcPr>
          <w:p>
            <w:pPr>
              <w:pStyle w:val="TableParagraph"/>
              <w:rPr>
                <w:sz w:val="24"/>
              </w:rPr>
            </w:pPr>
            <w:r>
              <w:rPr>
                <w:spacing w:val="-3"/>
                <w:sz w:val="24"/>
              </w:rPr>
              <w:t>公益捐赠</w:t>
            </w:r>
          </w:p>
        </w:tc>
        <w:tc>
          <w:tcPr>
            <w:tcW w:w="1080" w:type="dxa"/>
          </w:tcPr>
          <w:p>
            <w:pPr>
              <w:pStyle w:val="TableParagraph"/>
              <w:rPr>
                <w:sz w:val="24"/>
              </w:rPr>
            </w:pPr>
            <w:r>
              <w:rPr>
                <w:spacing w:val="-2"/>
                <w:sz w:val="24"/>
              </w:rPr>
              <w:t>112000</w:t>
            </w:r>
          </w:p>
        </w:tc>
      </w:tr>
      <w:tr>
        <w:trPr>
          <w:trHeight w:val="556" w:hRule="atLeast"/>
        </w:trPr>
        <w:tc>
          <w:tcPr>
            <w:tcW w:w="1800" w:type="dxa"/>
          </w:tcPr>
          <w:p>
            <w:pPr>
              <w:pStyle w:val="TableParagraph"/>
              <w:ind w:left="9"/>
              <w:rPr>
                <w:sz w:val="24"/>
              </w:rPr>
            </w:pPr>
            <w:r>
              <w:rPr>
                <w:spacing w:val="-2"/>
                <w:sz w:val="24"/>
              </w:rPr>
              <w:t>2025.1.31</w:t>
            </w:r>
          </w:p>
        </w:tc>
        <w:tc>
          <w:tcPr>
            <w:tcW w:w="4292" w:type="dxa"/>
          </w:tcPr>
          <w:p>
            <w:pPr>
              <w:pStyle w:val="TableParagraph"/>
              <w:rPr>
                <w:sz w:val="24"/>
              </w:rPr>
            </w:pPr>
            <w:r>
              <w:rPr>
                <w:spacing w:val="-3"/>
                <w:sz w:val="24"/>
              </w:rPr>
              <w:t>公益捐赠</w:t>
            </w:r>
          </w:p>
        </w:tc>
        <w:tc>
          <w:tcPr>
            <w:tcW w:w="1080" w:type="dxa"/>
          </w:tcPr>
          <w:p>
            <w:pPr>
              <w:pStyle w:val="TableParagraph"/>
              <w:rPr>
                <w:sz w:val="24"/>
              </w:rPr>
            </w:pPr>
            <w:r>
              <w:rPr>
                <w:spacing w:val="-2"/>
                <w:sz w:val="24"/>
              </w:rPr>
              <w:t>30000</w:t>
            </w:r>
          </w:p>
        </w:tc>
      </w:tr>
      <w:tr>
        <w:trPr>
          <w:trHeight w:val="558" w:hRule="atLeast"/>
        </w:trPr>
        <w:tc>
          <w:tcPr>
            <w:tcW w:w="1800" w:type="dxa"/>
          </w:tcPr>
          <w:p>
            <w:pPr>
              <w:pStyle w:val="TableParagraph"/>
              <w:ind w:left="9"/>
              <w:rPr>
                <w:sz w:val="24"/>
              </w:rPr>
            </w:pPr>
            <w:r>
              <w:rPr>
                <w:spacing w:val="-2"/>
                <w:sz w:val="24"/>
              </w:rPr>
              <w:t>2025.3.31</w:t>
            </w:r>
          </w:p>
        </w:tc>
        <w:tc>
          <w:tcPr>
            <w:tcW w:w="4292" w:type="dxa"/>
          </w:tcPr>
          <w:p>
            <w:pPr>
              <w:pStyle w:val="TableParagraph"/>
              <w:rPr>
                <w:sz w:val="24"/>
              </w:rPr>
            </w:pPr>
            <w:r>
              <w:rPr>
                <w:spacing w:val="-4"/>
                <w:sz w:val="24"/>
              </w:rPr>
              <w:t>赞助费</w:t>
            </w:r>
          </w:p>
        </w:tc>
        <w:tc>
          <w:tcPr>
            <w:tcW w:w="1080" w:type="dxa"/>
          </w:tcPr>
          <w:p>
            <w:pPr>
              <w:pStyle w:val="TableParagraph"/>
              <w:rPr>
                <w:sz w:val="24"/>
              </w:rPr>
            </w:pPr>
            <w:r>
              <w:rPr>
                <w:spacing w:val="-2"/>
                <w:sz w:val="24"/>
              </w:rPr>
              <w:t>20000</w:t>
            </w:r>
          </w:p>
        </w:tc>
      </w:tr>
    </w:tbl>
    <w:p>
      <w:pPr>
        <w:pStyle w:val="TableParagraph"/>
        <w:spacing w:after="0"/>
        <w:rPr>
          <w:sz w:val="24"/>
        </w:rPr>
        <w:sectPr>
          <w:pgSz w:w="11930" w:h="16850"/>
          <w:pgMar w:header="0" w:footer="1066" w:top="1480" w:bottom="1280" w:left="1133" w:right="850"/>
        </w:sectPr>
      </w:pPr>
    </w:p>
    <w:p>
      <w:pPr>
        <w:pStyle w:val="BodyText"/>
        <w:spacing w:line="364" w:lineRule="auto" w:before="40"/>
        <w:ind w:right="434" w:firstLine="480"/>
        <w:jc w:val="both"/>
      </w:pPr>
      <w:r>
        <w:rPr>
          <w:spacing w:val="-2"/>
        </w:rPr>
        <w:t>未来国内国际形势变化莫测，公司将抓住机遇，应对挑战，强化品牌价值提升，持</w:t>
      </w:r>
      <w:r>
        <w:rPr>
          <w:spacing w:val="-2"/>
          <w:position w:val="1"/>
        </w:rPr>
        <w:t>续</w:t>
      </w:r>
      <w:r>
        <w:rPr>
          <w:spacing w:val="-2"/>
        </w:rPr>
        <w:t>改善品牌形象和溢价能力；强化产品质量提升，以质量提升拉动销量规模扩大；强化生产效率提升，最大限度的适应市场需求；强化经营质量提升，切实提高盈利能力；强化管理</w:t>
      </w:r>
      <w:r>
        <w:rPr>
          <w:spacing w:val="-21"/>
        </w:rPr>
        <w:t>水平提升，创新管理模式，实现管理突破。公司将继续认真履行公司的社会责任：深入规范</w:t>
      </w:r>
      <w:r>
        <w:rPr>
          <w:spacing w:val="-2"/>
        </w:rPr>
        <w:t>公司治理，稳健运营，为股东带来更多收益；充分激励员工，为员工提供发展空间，持续关爱员工，积极倾听员工心声，做实思想文化建设和企业形象提升两大核心工程，塑造员工精神；加强与利益相关方的沟通合作，维持平等、互利、诚信的战略合作伙伴关系；加大产品设计力度，不断丰富产品线，保证产品质量，优化客户服务，加强客户沟通，最大限度地提升客户满意度；继续坚持落实科学发展观，投身环境保护工作，完善环保制度，利用环保设备技术减轻和避免污染，加大环保宣传力度，展开环保节能活动，提高员工的环保节能意识，构建绿色环保企业；持续维护公共关系，热忱社会公益事业，塑造良好的企业形象，带动地方经济发展，追求企业与社会的和谐共生。</w:t>
      </w:r>
    </w:p>
    <w:sectPr>
      <w:pgSz w:w="11930" w:h="16850"/>
      <w:pgMar w:header="0" w:footer="1066" w:top="1480" w:bottom="1280" w:left="1133" w:right="85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Calibri">
    <w:altName w:val="Calibri"/>
    <w:charset w:val="1"/>
    <w:family w:val="swiss"/>
    <w:pitch w:val="variable"/>
  </w:font>
  <w:font w:name="SimSun">
    <w:altName w:val="SimSun"/>
    <w:charset w:val="1"/>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459328">
              <wp:simplePos x="0" y="0"/>
              <wp:positionH relativeFrom="page">
                <wp:posOffset>3714622</wp:posOffset>
              </wp:positionH>
              <wp:positionV relativeFrom="page">
                <wp:posOffset>9856342</wp:posOffset>
              </wp:positionV>
              <wp:extent cx="147320" cy="1397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47320" cy="139700"/>
                      </a:xfrm>
                      <a:prstGeom prst="rect">
                        <a:avLst/>
                      </a:prstGeom>
                    </wps:spPr>
                    <wps:txbx>
                      <w:txbxContent>
                        <w:p>
                          <w:pPr>
                            <w:spacing w:line="203" w:lineRule="exact" w:before="0"/>
                            <w:ind w:left="60" w:right="0" w:firstLine="0"/>
                            <w:jc w:val="left"/>
                            <w:rPr>
                              <w:rFonts w:ascii="Calibri"/>
                              <w:sz w:val="18"/>
                            </w:rPr>
                          </w:pPr>
                          <w:r>
                            <w:rPr>
                              <w:rFonts w:ascii="Calibri"/>
                              <w:spacing w:val="-10"/>
                              <w:sz w:val="18"/>
                            </w:rPr>
                            <w:fldChar w:fldCharType="begin"/>
                          </w:r>
                          <w:r>
                            <w:rPr>
                              <w:rFonts w:ascii="Calibri"/>
                              <w:spacing w:val="-10"/>
                              <w:sz w:val="18"/>
                            </w:rPr>
                            <w:instrText> PAGE </w:instrText>
                          </w:r>
                          <w:r>
                            <w:rPr>
                              <w:rFonts w:ascii="Calibri"/>
                              <w:spacing w:val="-10"/>
                              <w:sz w:val="18"/>
                            </w:rPr>
                            <w:fldChar w:fldCharType="separate"/>
                          </w:r>
                          <w:r>
                            <w:rPr>
                              <w:rFonts w:ascii="Calibri"/>
                              <w:spacing w:val="-10"/>
                              <w:sz w:val="18"/>
                            </w:rPr>
                            <w:t>1</w:t>
                          </w:r>
                          <w:r>
                            <w:rPr>
                              <w:rFonts w:ascii="Calibri"/>
                              <w:spacing w:val="-10"/>
                              <w:sz w:val="18"/>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2.489990pt;margin-top:776.089966pt;width:11.6pt;height:11pt;mso-position-horizontal-relative:page;mso-position-vertical-relative:page;z-index:-15857152" type="#_x0000_t202" id="docshape1" filled="false" stroked="false">
              <v:textbox inset="0,0,0,0">
                <w:txbxContent>
                  <w:p>
                    <w:pPr>
                      <w:spacing w:line="203" w:lineRule="exact" w:before="0"/>
                      <w:ind w:left="60" w:right="0" w:firstLine="0"/>
                      <w:jc w:val="left"/>
                      <w:rPr>
                        <w:rFonts w:ascii="Calibri"/>
                        <w:sz w:val="18"/>
                      </w:rPr>
                    </w:pPr>
                    <w:r>
                      <w:rPr>
                        <w:rFonts w:ascii="Calibri"/>
                        <w:spacing w:val="-10"/>
                        <w:sz w:val="18"/>
                      </w:rPr>
                      <w:fldChar w:fldCharType="begin"/>
                    </w:r>
                    <w:r>
                      <w:rPr>
                        <w:rFonts w:ascii="Calibri"/>
                        <w:spacing w:val="-10"/>
                        <w:sz w:val="18"/>
                      </w:rPr>
                      <w:instrText> PAGE </w:instrText>
                    </w:r>
                    <w:r>
                      <w:rPr>
                        <w:rFonts w:ascii="Calibri"/>
                        <w:spacing w:val="-10"/>
                        <w:sz w:val="18"/>
                      </w:rPr>
                      <w:fldChar w:fldCharType="separate"/>
                    </w:r>
                    <w:r>
                      <w:rPr>
                        <w:rFonts w:ascii="Calibri"/>
                        <w:spacing w:val="-10"/>
                        <w:sz w:val="18"/>
                      </w:rPr>
                      <w:t>1</w:t>
                    </w:r>
                    <w:r>
                      <w:rPr>
                        <w:rFonts w:ascii="Calibri"/>
                        <w:spacing w:val="-10"/>
                        <w:sz w:val="18"/>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17"/>
      </w:rPr>
    </w:pPr>
    <w:r>
      <w:rPr>
        <w:sz w:val="17"/>
      </w:rPr>
      <mc:AlternateContent>
        <mc:Choice Requires="wps">
          <w:drawing>
            <wp:anchor distT="0" distB="0" distL="0" distR="0" allowOverlap="1" layoutInCell="1" locked="0" behindDoc="1" simplePos="0" relativeHeight="487459840">
              <wp:simplePos x="0" y="0"/>
              <wp:positionH relativeFrom="page">
                <wp:posOffset>3738498</wp:posOffset>
              </wp:positionH>
              <wp:positionV relativeFrom="page">
                <wp:posOffset>9856342</wp:posOffset>
              </wp:positionV>
              <wp:extent cx="83820" cy="1397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83820" cy="139700"/>
                      </a:xfrm>
                      <a:prstGeom prst="rect">
                        <a:avLst/>
                      </a:prstGeom>
                    </wps:spPr>
                    <wps:txbx>
                      <w:txbxContent>
                        <w:p>
                          <w:pPr>
                            <w:spacing w:line="203" w:lineRule="exact" w:before="0"/>
                            <w:ind w:left="20" w:right="0" w:firstLine="0"/>
                            <w:jc w:val="left"/>
                            <w:rPr>
                              <w:rFonts w:ascii="Calibri"/>
                              <w:sz w:val="18"/>
                            </w:rPr>
                          </w:pPr>
                          <w:r>
                            <w:rPr>
                              <w:rFonts w:ascii="Calibri"/>
                              <w:spacing w:val="-10"/>
                              <w:sz w:val="18"/>
                            </w:rPr>
                            <w:t>1</w:t>
                          </w:r>
                        </w:p>
                      </w:txbxContent>
                    </wps:txbx>
                    <wps:bodyPr wrap="square" lIns="0" tIns="0" rIns="0" bIns="0" rtlCol="0">
                      <a:noAutofit/>
                    </wps:bodyPr>
                  </wps:wsp>
                </a:graphicData>
              </a:graphic>
            </wp:anchor>
          </w:drawing>
        </mc:Choice>
        <mc:Fallback>
          <w:pict>
            <v:shape style="position:absolute;margin-left:294.369995pt;margin-top:776.089966pt;width:6.6pt;height:11pt;mso-position-horizontal-relative:page;mso-position-vertical-relative:page;z-index:-15856640" type="#_x0000_t202" id="docshape2" filled="false" stroked="false">
              <v:textbox inset="0,0,0,0">
                <w:txbxContent>
                  <w:p>
                    <w:pPr>
                      <w:spacing w:line="203" w:lineRule="exact" w:before="0"/>
                      <w:ind w:left="20" w:right="0" w:firstLine="0"/>
                      <w:jc w:val="left"/>
                      <w:rPr>
                        <w:rFonts w:ascii="Calibri"/>
                        <w:sz w:val="18"/>
                      </w:rPr>
                    </w:pPr>
                    <w:r>
                      <w:rPr>
                        <w:rFonts w:ascii="Calibri"/>
                        <w:spacing w:val="-10"/>
                        <w:sz w:val="18"/>
                      </w:rPr>
                      <w:t>1</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83" w:hanging="615"/>
        <w:jc w:val="left"/>
      </w:pPr>
      <w:rPr>
        <w:rFonts w:hint="default" w:ascii="SimSun" w:hAnsi="SimSun" w:eastAsia="SimSun" w:cs="SimSun"/>
        <w:b w:val="0"/>
        <w:bCs w:val="0"/>
        <w:i w:val="0"/>
        <w:iCs w:val="0"/>
        <w:spacing w:val="2"/>
        <w:w w:val="99"/>
        <w:sz w:val="22"/>
        <w:szCs w:val="22"/>
        <w:lang w:val="en-US" w:eastAsia="zh-CN" w:bidi="ar-SA"/>
      </w:rPr>
    </w:lvl>
    <w:lvl w:ilvl="1">
      <w:start w:val="0"/>
      <w:numFmt w:val="bullet"/>
      <w:lvlText w:val="•"/>
      <w:lvlJc w:val="left"/>
      <w:pPr>
        <w:ind w:left="1245" w:hanging="615"/>
      </w:pPr>
      <w:rPr>
        <w:rFonts w:hint="default"/>
        <w:lang w:val="en-US" w:eastAsia="zh-CN" w:bidi="ar-SA"/>
      </w:rPr>
    </w:lvl>
    <w:lvl w:ilvl="2">
      <w:start w:val="0"/>
      <w:numFmt w:val="bullet"/>
      <w:lvlText w:val="•"/>
      <w:lvlJc w:val="left"/>
      <w:pPr>
        <w:ind w:left="2211" w:hanging="615"/>
      </w:pPr>
      <w:rPr>
        <w:rFonts w:hint="default"/>
        <w:lang w:val="en-US" w:eastAsia="zh-CN" w:bidi="ar-SA"/>
      </w:rPr>
    </w:lvl>
    <w:lvl w:ilvl="3">
      <w:start w:val="0"/>
      <w:numFmt w:val="bullet"/>
      <w:lvlText w:val="•"/>
      <w:lvlJc w:val="left"/>
      <w:pPr>
        <w:ind w:left="3177" w:hanging="615"/>
      </w:pPr>
      <w:rPr>
        <w:rFonts w:hint="default"/>
        <w:lang w:val="en-US" w:eastAsia="zh-CN" w:bidi="ar-SA"/>
      </w:rPr>
    </w:lvl>
    <w:lvl w:ilvl="4">
      <w:start w:val="0"/>
      <w:numFmt w:val="bullet"/>
      <w:lvlText w:val="•"/>
      <w:lvlJc w:val="left"/>
      <w:pPr>
        <w:ind w:left="4143" w:hanging="615"/>
      </w:pPr>
      <w:rPr>
        <w:rFonts w:hint="default"/>
        <w:lang w:val="en-US" w:eastAsia="zh-CN" w:bidi="ar-SA"/>
      </w:rPr>
    </w:lvl>
    <w:lvl w:ilvl="5">
      <w:start w:val="0"/>
      <w:numFmt w:val="bullet"/>
      <w:lvlText w:val="•"/>
      <w:lvlJc w:val="left"/>
      <w:pPr>
        <w:ind w:left="5108" w:hanging="615"/>
      </w:pPr>
      <w:rPr>
        <w:rFonts w:hint="default"/>
        <w:lang w:val="en-US" w:eastAsia="zh-CN" w:bidi="ar-SA"/>
      </w:rPr>
    </w:lvl>
    <w:lvl w:ilvl="6">
      <w:start w:val="0"/>
      <w:numFmt w:val="bullet"/>
      <w:lvlText w:val="•"/>
      <w:lvlJc w:val="left"/>
      <w:pPr>
        <w:ind w:left="6074" w:hanging="615"/>
      </w:pPr>
      <w:rPr>
        <w:rFonts w:hint="default"/>
        <w:lang w:val="en-US" w:eastAsia="zh-CN" w:bidi="ar-SA"/>
      </w:rPr>
    </w:lvl>
    <w:lvl w:ilvl="7">
      <w:start w:val="0"/>
      <w:numFmt w:val="bullet"/>
      <w:lvlText w:val="•"/>
      <w:lvlJc w:val="left"/>
      <w:pPr>
        <w:ind w:left="7040" w:hanging="615"/>
      </w:pPr>
      <w:rPr>
        <w:rFonts w:hint="default"/>
        <w:lang w:val="en-US" w:eastAsia="zh-CN" w:bidi="ar-SA"/>
      </w:rPr>
    </w:lvl>
    <w:lvl w:ilvl="8">
      <w:start w:val="0"/>
      <w:numFmt w:val="bullet"/>
      <w:lvlText w:val="•"/>
      <w:lvlJc w:val="left"/>
      <w:pPr>
        <w:ind w:left="8006" w:hanging="615"/>
      </w:pPr>
      <w:rPr>
        <w:rFonts w:hint="default"/>
        <w:lang w:val="en-US" w:eastAsia="zh-CN"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en-US" w:eastAsia="zh-CN" w:bidi="ar-SA"/>
    </w:rPr>
  </w:style>
  <w:style w:styleId="BodyText" w:type="paragraph">
    <w:name w:val="Body Text"/>
    <w:basedOn w:val="Normal"/>
    <w:uiPriority w:val="1"/>
    <w:qFormat/>
    <w:pPr>
      <w:ind w:left="168"/>
    </w:pPr>
    <w:rPr>
      <w:rFonts w:ascii="SimSun" w:hAnsi="SimSun" w:eastAsia="SimSun" w:cs="SimSun"/>
      <w:sz w:val="24"/>
      <w:szCs w:val="24"/>
      <w:lang w:val="en-US" w:eastAsia="zh-CN" w:bidi="ar-SA"/>
    </w:rPr>
  </w:style>
  <w:style w:styleId="Heading1" w:type="paragraph">
    <w:name w:val="Heading 1"/>
    <w:basedOn w:val="Normal"/>
    <w:uiPriority w:val="1"/>
    <w:qFormat/>
    <w:pPr>
      <w:outlineLvl w:val="1"/>
    </w:pPr>
    <w:rPr>
      <w:rFonts w:ascii="SimSun" w:hAnsi="SimSun" w:eastAsia="SimSun" w:cs="SimSun"/>
      <w:sz w:val="52"/>
      <w:szCs w:val="52"/>
      <w:lang w:val="en-US" w:eastAsia="zh-CN" w:bidi="ar-SA"/>
    </w:rPr>
  </w:style>
  <w:style w:styleId="Heading2" w:type="paragraph">
    <w:name w:val="Heading 2"/>
    <w:basedOn w:val="Normal"/>
    <w:uiPriority w:val="1"/>
    <w:qFormat/>
    <w:pPr>
      <w:spacing w:before="41"/>
      <w:ind w:left="220" w:right="366"/>
      <w:jc w:val="center"/>
      <w:outlineLvl w:val="2"/>
    </w:pPr>
    <w:rPr>
      <w:rFonts w:ascii="SimSun" w:hAnsi="SimSun" w:eastAsia="SimSun" w:cs="SimSun"/>
      <w:sz w:val="32"/>
      <w:szCs w:val="32"/>
      <w:lang w:val="en-US" w:eastAsia="zh-CN" w:bidi="ar-SA"/>
    </w:rPr>
  </w:style>
  <w:style w:styleId="Title" w:type="paragraph">
    <w:name w:val="Title"/>
    <w:basedOn w:val="Normal"/>
    <w:uiPriority w:val="1"/>
    <w:qFormat/>
    <w:pPr>
      <w:spacing w:before="1"/>
      <w:ind w:left="2316"/>
    </w:pPr>
    <w:rPr>
      <w:rFonts w:ascii="SimSun" w:hAnsi="SimSun" w:eastAsia="SimSun" w:cs="SimSun"/>
      <w:sz w:val="84"/>
      <w:szCs w:val="84"/>
      <w:lang w:val="en-US" w:eastAsia="zh-CN" w:bidi="ar-SA"/>
    </w:rPr>
  </w:style>
  <w:style w:styleId="ListParagraph" w:type="paragraph">
    <w:name w:val="List Paragraph"/>
    <w:basedOn w:val="Normal"/>
    <w:uiPriority w:val="1"/>
    <w:qFormat/>
    <w:pPr>
      <w:spacing w:before="12"/>
      <w:ind w:left="283" w:right="479" w:firstLine="480"/>
      <w:jc w:val="both"/>
    </w:pPr>
    <w:rPr>
      <w:rFonts w:ascii="SimSun" w:hAnsi="SimSun" w:eastAsia="SimSun" w:cs="SimSun"/>
      <w:lang w:val="en-US" w:eastAsia="zh-CN" w:bidi="ar-SA"/>
    </w:rPr>
  </w:style>
  <w:style w:styleId="TableParagraph" w:type="paragraph">
    <w:name w:val="Table Paragraph"/>
    <w:basedOn w:val="Normal"/>
    <w:uiPriority w:val="1"/>
    <w:qFormat/>
    <w:pPr>
      <w:spacing w:before="2"/>
      <w:ind w:left="5"/>
      <w:jc w:val="center"/>
    </w:pPr>
    <w:rPr>
      <w:rFonts w:ascii="SimSun" w:hAnsi="SimSun" w:eastAsia="SimSun" w:cs="SimSun"/>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footer" Target="footer2.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dcterms:created xsi:type="dcterms:W3CDTF">2025-09-01T06:54:29Z</dcterms:created>
  <dcterms:modified xsi:type="dcterms:W3CDTF">2025-09-01T06:54:29Z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2025-09-01T00:00:00Z</vt:filetime>
  </property>
  <property fmtid="{D5CDD505-2E9C-101B-9397-08002B2CF9AE}" pid="3" name="Creator">
    <vt:lpwstr>Microsoft® Word 2016</vt:lpwstr>
  </property>
  <property fmtid="{D5CDD505-2E9C-101B-9397-08002B2CF9AE}" pid="4" name="LastSaved">
    <vt:filetime>2025-09-01T00:00:00Z</vt:filetime>
  </property>
  <property fmtid="{D5CDD505-2E9C-101B-9397-08002B2CF9AE}" pid="5" name="Producer">
    <vt:lpwstr>3-Heights(TM) PDF Security Shell 4.8.25.2 (http://www.pdf-tools.com)</vt:lpwstr>
  </property>
</Properties>
</file>